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88" w:rsidRDefault="00645688">
      <w:pPr>
        <w:pStyle w:val="DChaptTitle"/>
        <w:spacing w:after="0"/>
        <w:ind w:left="0"/>
        <w:rPr>
          <w:b w:val="0"/>
          <w:i w:val="0"/>
          <w:smallCaps w:val="0"/>
          <w:sz w:val="36"/>
        </w:rPr>
      </w:pPr>
      <w:bookmarkStart w:id="0" w:name="_GoBack"/>
      <w:bookmarkEnd w:id="0"/>
      <w:r>
        <w:rPr>
          <w:b w:val="0"/>
          <w:i w:val="0"/>
          <w:smallCaps w:val="0"/>
          <w:sz w:val="36"/>
        </w:rPr>
        <w:t>Chapter 3</w:t>
      </w:r>
    </w:p>
    <w:p w:rsidR="00645688" w:rsidRDefault="00645688">
      <w:pPr>
        <w:pStyle w:val="DChaptTitle"/>
        <w:pBdr>
          <w:bottom w:val="single" w:sz="24" w:space="3" w:color="auto"/>
        </w:pBdr>
        <w:ind w:left="0"/>
        <w:rPr>
          <w:b w:val="0"/>
          <w:i w:val="0"/>
          <w:smallCaps w:val="0"/>
          <w:sz w:val="36"/>
        </w:rPr>
      </w:pPr>
      <w:r>
        <w:rPr>
          <w:b w:val="0"/>
          <w:i w:val="0"/>
          <w:smallCaps w:val="0"/>
          <w:sz w:val="36"/>
        </w:rPr>
        <w:t>Determining Gross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rPr>
          <w:rFonts w:ascii="Arial" w:hAnsi="Arial"/>
          <w:b/>
          <w:sz w:val="24"/>
        </w:rPr>
      </w:pPr>
    </w:p>
    <w:p w:rsidR="00645688" w:rsidRDefault="00645688" w:rsidP="00A65BC7">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120"/>
        <w:jc w:val="center"/>
        <w:rPr>
          <w:rFonts w:ascii="Arial" w:hAnsi="Arial"/>
          <w:sz w:val="32"/>
        </w:rPr>
      </w:pPr>
      <w:r>
        <w:rPr>
          <w:rFonts w:ascii="Arial" w:hAnsi="Arial"/>
          <w:sz w:val="32"/>
        </w:rPr>
        <w:t>Solutions to Develop Research Skills</w:t>
      </w:r>
    </w:p>
    <w:p w:rsidR="00B66436" w:rsidRDefault="00FE19B3" w:rsidP="00B66436">
      <w:pPr>
        <w:pStyle w:val="QuesNo"/>
        <w:spacing w:after="0"/>
        <w:ind w:left="0" w:firstLine="0"/>
      </w:pPr>
      <w:r>
        <w:t>Note to Instructor: B</w:t>
      </w:r>
      <w:r w:rsidR="00645688">
        <w:t>eginning with this chapter, no research aids or “hints” are provided in the textbook. Before the solution to each problem, how</w:t>
      </w:r>
      <w:r w:rsidR="009871EA">
        <w:t xml:space="preserve">ever, suggested research aids </w:t>
      </w:r>
      <w:r w:rsidR="00645688">
        <w:t xml:space="preserve">are provided. This allows you to choose whether </w:t>
      </w:r>
      <w:r w:rsidR="000551FA">
        <w:t xml:space="preserve">or not </w:t>
      </w:r>
      <w:r w:rsidR="00645688">
        <w:t>to provide any hints to your stu</w:t>
      </w:r>
      <w:r w:rsidR="00B66436">
        <w:t xml:space="preserve">dents for a particular problem. </w:t>
      </w:r>
      <w:r w:rsidR="009871EA">
        <w:t>For problems that can be solved using free Internet sources, you must provide students with the citations in these hints and refer students to Figure 2.</w:t>
      </w:r>
      <w:r w:rsidR="008C5767">
        <w:t>1</w:t>
      </w:r>
      <w:r w:rsidR="009871EA">
        <w:t xml:space="preserve"> of Chapter 2 in the text for the URLs to enable them to solve these problems using </w:t>
      </w:r>
      <w:r w:rsidR="00B66436">
        <w:t>free Internet</w:t>
      </w:r>
      <w:r w:rsidR="009871EA">
        <w:t xml:space="preserve"> sources. </w:t>
      </w:r>
      <w:r w:rsidR="00B66436">
        <w:t xml:space="preserve">Some of the problems require access to </w:t>
      </w:r>
      <w:r w:rsidR="00B66436" w:rsidRPr="0057547A">
        <w:rPr>
          <w:i/>
        </w:rPr>
        <w:t>Checkpoint</w:t>
      </w:r>
      <w:r w:rsidR="00B66436">
        <w:t>® or a similar service.</w:t>
      </w:r>
    </w:p>
    <w:p w:rsidR="00645688" w:rsidRDefault="00645688">
      <w:pPr>
        <w:pStyle w:val="QuesNo"/>
        <w:spacing w:after="0"/>
        <w:ind w:left="0" w:firstLine="0"/>
      </w:pPr>
    </w:p>
    <w:p w:rsidR="00686BD1" w:rsidRDefault="00A06D51" w:rsidP="00374B7F">
      <w:pPr>
        <w:pStyle w:val="QuesNo"/>
        <w:spacing w:after="0"/>
        <w:ind w:left="0" w:firstLine="0"/>
      </w:pPr>
      <w:r>
        <w:t>7</w:t>
      </w:r>
      <w:r w:rsidR="0030695B">
        <w:t>2</w:t>
      </w:r>
      <w:r w:rsidR="00686BD1" w:rsidRPr="00686BD1">
        <w:t>.</w:t>
      </w:r>
      <w:r w:rsidR="00686BD1">
        <w:t xml:space="preserve"> </w:t>
      </w:r>
      <w:r w:rsidR="00686BD1" w:rsidRPr="00686BD1">
        <w:t>[LO 3.2]</w:t>
      </w:r>
      <w:r w:rsidR="00686BD1">
        <w:t xml:space="preserve"> </w:t>
      </w:r>
      <w:r w:rsidR="00686BD1" w:rsidRPr="00374B7F">
        <w:rPr>
          <w:i/>
        </w:rPr>
        <w:t>Year Gift Card Revenue is Included in Income (</w:t>
      </w:r>
      <w:r w:rsidR="00106B29">
        <w:rPr>
          <w:i/>
        </w:rPr>
        <w:t>can be solved using free Internet sources if citations are provided to students)</w:t>
      </w:r>
    </w:p>
    <w:p w:rsidR="00686BD1" w:rsidRPr="00686BD1" w:rsidRDefault="00686BD1" w:rsidP="00374B7F">
      <w:pPr>
        <w:pStyle w:val="QuesNo"/>
        <w:spacing w:after="0"/>
        <w:ind w:left="288" w:firstLine="0"/>
      </w:pPr>
      <w:r w:rsidRPr="00686BD1">
        <w:t>Gamma Corporation, a calendar-year accrual-basis taxpayer, operates department stores. Alpha Corporation and Beta Corporation are wholly-owned domestic subsidiaries of Gamma Corporation and file a consolidated federal tax return under Gamma Corporation’s consolidated group. Gamma, Alpha, and Beta enter into a gift card service agreement under which Gamma is primarily liable for the value of the gift cards until redemption while Alpha and Beta are obligated to accept the gift cards as payment for goods and services. Gamma issues the gift cards and reimburses Alpha and Beta for the sale price of the goods and services purchased with the gift cards. The group recognizes revenue in its applicable financial statement when the gift cards are redeemed. In year 1, Gamma Corporation makes $2 million in gift card sales. Gamma tracks redemptions of gift cards electronically and determined that $1,800,000 was redeemed in year 1. How much revenue does Gamma Corporation recognize from the gift card sales for tax purposes and in which year(s)?</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 xml:space="preserve">Hint: </w:t>
      </w:r>
      <w:r w:rsidR="00FD2B43">
        <w:rPr>
          <w:sz w:val="22"/>
        </w:rPr>
        <w:t xml:space="preserve">Reg. Sec. 451-5 and </w:t>
      </w:r>
      <w:r>
        <w:rPr>
          <w:sz w:val="22"/>
        </w:rPr>
        <w:t xml:space="preserve">Rev. Proc. 2004-34, </w:t>
      </w:r>
      <w:r w:rsidR="00425249">
        <w:rPr>
          <w:sz w:val="22"/>
        </w:rPr>
        <w:t>2004</w:t>
      </w:r>
      <w:r>
        <w:rPr>
          <w:sz w:val="22"/>
        </w:rPr>
        <w:t>-</w:t>
      </w:r>
      <w:r w:rsidR="00425249">
        <w:rPr>
          <w:sz w:val="22"/>
        </w:rPr>
        <w:t>22</w:t>
      </w:r>
      <w:r>
        <w:rPr>
          <w:sz w:val="22"/>
        </w:rPr>
        <w:t xml:space="preserve"> C.B. </w:t>
      </w:r>
      <w:r w:rsidR="00425249">
        <w:rPr>
          <w:sz w:val="22"/>
        </w:rPr>
        <w:t>991</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How much revenue does Gamma Corporation recognize from the gift card sales for tax purposes and in which year(s)?</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Gamma Corporation will recognize $1,800,000 in year 1 and t</w:t>
      </w:r>
      <w:r w:rsidR="002C1BF6">
        <w:rPr>
          <w:sz w:val="22"/>
        </w:rPr>
        <w:t>he remaining $200,000 in year 2 (unless it chooses to report the entire $2 million in year 1).</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Code Section 451(a) states </w:t>
      </w:r>
      <w:r w:rsidR="00FD2B43">
        <w:rPr>
          <w:sz w:val="22"/>
        </w:rPr>
        <w:t xml:space="preserve">that </w:t>
      </w:r>
      <w:r>
        <w:rPr>
          <w:sz w:val="22"/>
        </w:rPr>
        <w:t>income is normally recognized when received unless the method of accounting allows for the income to be recognized in a different period. Reg. Section 1.451-5 states that payment</w:t>
      </w:r>
      <w:r w:rsidR="00425249">
        <w:rPr>
          <w:sz w:val="22"/>
        </w:rPr>
        <w:t>s</w:t>
      </w:r>
      <w:r>
        <w:rPr>
          <w:sz w:val="22"/>
        </w:rPr>
        <w:t xml:space="preserve"> received for gift cards redeemable for goods can be deferred to the earlier of the year the sale is reported for financial accounting or the second tax year after the year of receipt. Rev. Proc. 2004-34</w:t>
      </w:r>
      <w:r w:rsidR="000D5017">
        <w:rPr>
          <w:sz w:val="22"/>
        </w:rPr>
        <w:t>, 2004-20 I.R.B. 991</w:t>
      </w:r>
      <w:r>
        <w:rPr>
          <w:sz w:val="22"/>
        </w:rPr>
        <w:t xml:space="preserve"> states that a taxpayer with an applicable financial statement may account for advanced payments </w:t>
      </w:r>
      <w:r w:rsidR="00425249">
        <w:rPr>
          <w:sz w:val="22"/>
        </w:rPr>
        <w:t xml:space="preserve">from gift cards </w:t>
      </w:r>
      <w:r>
        <w:rPr>
          <w:sz w:val="22"/>
        </w:rPr>
        <w:t xml:space="preserve">by </w:t>
      </w:r>
      <w:r w:rsidR="002C1BF6">
        <w:rPr>
          <w:sz w:val="22"/>
        </w:rPr>
        <w:t xml:space="preserve">either </w:t>
      </w:r>
      <w:r>
        <w:rPr>
          <w:sz w:val="22"/>
        </w:rPr>
        <w:t xml:space="preserve">the full inclusion method or the deferral method. </w:t>
      </w:r>
      <w:r w:rsidR="00FD2B43">
        <w:rPr>
          <w:sz w:val="22"/>
        </w:rPr>
        <w:t>Under t</w:t>
      </w:r>
      <w:r>
        <w:rPr>
          <w:sz w:val="22"/>
        </w:rPr>
        <w:t xml:space="preserve">he full-inclusion </w:t>
      </w:r>
      <w:r w:rsidR="00FD2B43">
        <w:rPr>
          <w:sz w:val="22"/>
        </w:rPr>
        <w:t xml:space="preserve">method, the advance payment is </w:t>
      </w:r>
      <w:r w:rsidR="000D5017">
        <w:rPr>
          <w:sz w:val="22"/>
        </w:rPr>
        <w:t>reported as income in the year of receipt</w:t>
      </w:r>
      <w:r w:rsidR="00FD2B43">
        <w:rPr>
          <w:sz w:val="22"/>
        </w:rPr>
        <w:t xml:space="preserve"> regardless of whether the payment is earned or recognized for financial reporting purposes. Under the deferral method, a taxpayer is allowed to defer </w:t>
      </w:r>
      <w:r w:rsidR="000D5017">
        <w:rPr>
          <w:sz w:val="22"/>
        </w:rPr>
        <w:t xml:space="preserve">recognition of </w:t>
      </w:r>
      <w:r w:rsidR="00FD2B43">
        <w:rPr>
          <w:sz w:val="22"/>
        </w:rPr>
        <w:t>advance payment</w:t>
      </w:r>
      <w:r w:rsidR="000D5017">
        <w:rPr>
          <w:sz w:val="22"/>
        </w:rPr>
        <w:t>s</w:t>
      </w:r>
      <w:r w:rsidR="00FD2B43">
        <w:rPr>
          <w:sz w:val="22"/>
        </w:rPr>
        <w:t xml:space="preserve"> to the tax year following the year of receipt to the extent the taxpayer establishes that the advance paym</w:t>
      </w:r>
      <w:r w:rsidR="002C1BF6">
        <w:rPr>
          <w:sz w:val="22"/>
        </w:rPr>
        <w:t>e</w:t>
      </w:r>
      <w:r w:rsidR="00FD2B43">
        <w:rPr>
          <w:sz w:val="22"/>
        </w:rPr>
        <w:t xml:space="preserve">nts are not recognized </w:t>
      </w:r>
      <w:r w:rsidR="002C1BF6">
        <w:rPr>
          <w:sz w:val="22"/>
        </w:rPr>
        <w:t>as</w:t>
      </w:r>
      <w:r w:rsidR="00FD2B43">
        <w:rPr>
          <w:sz w:val="22"/>
        </w:rPr>
        <w:t xml:space="preserve"> revenue in the</w:t>
      </w:r>
      <w:r w:rsidR="000D5017">
        <w:rPr>
          <w:sz w:val="22"/>
        </w:rPr>
        <w:t>ir</w:t>
      </w:r>
      <w:r w:rsidR="00FD2B43">
        <w:rPr>
          <w:sz w:val="22"/>
        </w:rPr>
        <w:t xml:space="preserve"> financial statement</w:t>
      </w:r>
      <w:r w:rsidR="002C1BF6">
        <w:rPr>
          <w:sz w:val="22"/>
        </w:rPr>
        <w:t>.</w:t>
      </w:r>
      <w:r w:rsidR="00FD2B43">
        <w:rPr>
          <w:sz w:val="22"/>
        </w:rPr>
        <w:t xml:space="preserve"> Any portion not included in gross income in the year of receipt must be included in gross income in the next tax year. Rev. Proc. 2011-18</w:t>
      </w:r>
      <w:r w:rsidR="000D5017">
        <w:rPr>
          <w:sz w:val="22"/>
        </w:rPr>
        <w:t>, 2011-5 I.R.B. 443</w:t>
      </w:r>
      <w:r w:rsidR="00FD2B43">
        <w:rPr>
          <w:sz w:val="22"/>
        </w:rPr>
        <w:t xml:space="preserve"> </w:t>
      </w:r>
      <w:r w:rsidR="000D5017">
        <w:rPr>
          <w:sz w:val="22"/>
        </w:rPr>
        <w:t>clarifies that</w:t>
      </w:r>
      <w:r w:rsidR="00FD2B43">
        <w:rPr>
          <w:sz w:val="22"/>
        </w:rPr>
        <w:t xml:space="preserve"> the definition of an eligible advance payment include</w:t>
      </w:r>
      <w:r w:rsidR="000D5017">
        <w:rPr>
          <w:sz w:val="22"/>
        </w:rPr>
        <w:t>s</w:t>
      </w:r>
      <w:r w:rsidR="00FD2B43">
        <w:rPr>
          <w:sz w:val="22"/>
        </w:rPr>
        <w:t xml:space="preserve"> gift cards that are redeemable by the taxpayer or by other entities that are legally obligation to accept the card from a customer as payment for goods or services. </w:t>
      </w:r>
      <w:r w:rsidR="00D47A6D">
        <w:rPr>
          <w:sz w:val="22"/>
        </w:rPr>
        <w:t>Rev. Proc. 2013-29, 2013-33 I.R.B. 141 further clarified that a taxpayer is not precluded from using the deferral method just because the taxpayer never earns payment from eligible gift card sales.</w:t>
      </w:r>
    </w:p>
    <w:p w:rsidR="008C5767" w:rsidRDefault="008C5767" w:rsidP="005131A5">
      <w:pPr>
        <w:pStyle w:val="QuesNo"/>
        <w:spacing w:after="0"/>
        <w:ind w:left="0" w:firstLine="0"/>
      </w:pPr>
    </w:p>
    <w:p w:rsidR="00373D4D" w:rsidRDefault="00373D4D" w:rsidP="005131A5">
      <w:pPr>
        <w:pStyle w:val="QuesNo"/>
        <w:spacing w:after="0"/>
        <w:ind w:left="0" w:firstLine="0"/>
      </w:pPr>
    </w:p>
    <w:p w:rsidR="00373D4D" w:rsidRDefault="00373D4D" w:rsidP="005131A5">
      <w:pPr>
        <w:pStyle w:val="QuesNo"/>
        <w:spacing w:after="0"/>
        <w:ind w:left="0" w:firstLine="0"/>
      </w:pPr>
    </w:p>
    <w:p w:rsidR="005131A5" w:rsidRDefault="00A06D51" w:rsidP="005131A5">
      <w:pPr>
        <w:pStyle w:val="QuesNo"/>
        <w:spacing w:after="0"/>
        <w:ind w:left="0" w:firstLine="0"/>
      </w:pPr>
      <w:r>
        <w:t>7</w:t>
      </w:r>
      <w:r w:rsidR="0030695B">
        <w:t>3</w:t>
      </w:r>
      <w:r w:rsidR="00645688">
        <w:t xml:space="preserve">. </w:t>
      </w:r>
      <w:r w:rsidR="008C5767">
        <w:t xml:space="preserve">[LO 3.4] </w:t>
      </w:r>
      <w:r w:rsidR="00645688">
        <w:rPr>
          <w:i/>
        </w:rPr>
        <w:t>Personal Use of Political Campaign Funds</w:t>
      </w:r>
      <w:r w:rsidR="005131A5">
        <w:rPr>
          <w:i/>
        </w:rPr>
        <w:t xml:space="preserve"> </w:t>
      </w:r>
      <w:r w:rsidR="00670E83">
        <w:rPr>
          <w:i/>
        </w:rPr>
        <w:t xml:space="preserve">(can be solved using </w:t>
      </w:r>
      <w:r w:rsidR="00670E83" w:rsidRPr="0057547A">
        <w:rPr>
          <w:i/>
        </w:rPr>
        <w:t>Checkpoint</w:t>
      </w:r>
      <w:r w:rsidR="00670E83">
        <w:t>®</w:t>
      </w:r>
      <w:r w:rsidR="003D2664">
        <w:t xml:space="preserve"> </w:t>
      </w:r>
      <w:r w:rsidR="003D2664" w:rsidRPr="00C72ECA">
        <w:rPr>
          <w:i/>
        </w:rPr>
        <w:t>or a similar service</w:t>
      </w:r>
      <w:r w:rsidR="00670E83">
        <w:rPr>
          <w:i/>
        </w:rPr>
        <w:t>)</w:t>
      </w:r>
    </w:p>
    <w:p w:rsidR="00645688" w:rsidRDefault="00645688">
      <w:pPr>
        <w:pStyle w:val="QuesNo"/>
        <w:spacing w:after="0"/>
        <w:ind w:left="288" w:firstLine="0"/>
      </w:pPr>
      <w:r>
        <w:t>Thomas ran for Congress, raising $2 million for his campaign. Six months after losing the election, auditors discovered that Thomas kept $160,000 of the campaign funds using the money to purchase a vacation home. What are the tax consequences of this use of campaign funds?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Hint: Rev. Rul. 71-449, 1971-2 C.B. 77</w:t>
      </w:r>
      <w:r w:rsidR="00494574">
        <w:rPr>
          <w:sz w:val="22"/>
        </w:rPr>
        <w:t xml:space="preserve"> (clarified by Rev. Rul. 74-22, 1974-1 C.B. 16)</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Does Thomas have income as a result of using the campaign funds to purchase a vacation home?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Thomas must recognize $160,000 income in the year the campaign funds were used to pay for his vacation home.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Code Section 61 states that gross income includes income from all sources unless specifically excluded. Rev. Rul. 71-449, 1971-2 C.B.77 concluded that political contributions used for personal purposes by a political candidate are included in gross income in the year the funds are diverted to personal use. A candidate is not taxed on campaign funds to the extent they are used for expenses of a political campaign or a similar purpose.  Therefore, Thomas must recognize $160,000 income in the year the campaign funds were used to pay for his vacation home.</w:t>
      </w:r>
    </w:p>
    <w:p w:rsidR="00645688" w:rsidRDefault="00645688">
      <w:pPr>
        <w:pStyle w:val="QuesNo"/>
        <w:spacing w:after="0"/>
        <w:ind w:left="288" w:firstLine="0"/>
      </w:pPr>
    </w:p>
    <w:p w:rsidR="00670E83" w:rsidRPr="00C72ECA" w:rsidRDefault="00A06D51" w:rsidP="00670E83">
      <w:pPr>
        <w:pStyle w:val="QuesNo"/>
        <w:spacing w:after="0"/>
        <w:ind w:left="0" w:firstLine="0"/>
        <w:rPr>
          <w:i/>
        </w:rPr>
      </w:pPr>
      <w:r>
        <w:t>7</w:t>
      </w:r>
      <w:r w:rsidR="0030695B">
        <w:t>4</w:t>
      </w:r>
      <w:r w:rsidR="00645688">
        <w:t xml:space="preserve">. </w:t>
      </w:r>
      <w:r w:rsidR="008C5767">
        <w:t xml:space="preserve">[LO 3.4] </w:t>
      </w:r>
      <w:r w:rsidR="00645688">
        <w:rPr>
          <w:i/>
        </w:rPr>
        <w:t>Income from Donation of Blood</w:t>
      </w:r>
      <w:r w:rsidR="005131A5">
        <w:t xml:space="preserve"> </w:t>
      </w:r>
      <w:r w:rsidR="00670E83">
        <w:rPr>
          <w:i/>
        </w:rPr>
        <w:t xml:space="preserve">(can be solved using </w:t>
      </w:r>
      <w:r w:rsidR="00670E83" w:rsidRPr="0057547A">
        <w:rPr>
          <w:i/>
        </w:rPr>
        <w:t>Checkpoint</w:t>
      </w:r>
      <w:r w:rsidR="00670E83">
        <w:t>®</w:t>
      </w:r>
      <w:r w:rsidR="00116B39">
        <w:t xml:space="preserve"> </w:t>
      </w:r>
      <w:r w:rsidR="00116B39" w:rsidRPr="00C72ECA">
        <w:rPr>
          <w:i/>
        </w:rPr>
        <w:t>or a similar service</w:t>
      </w:r>
      <w:r w:rsidR="00670E83" w:rsidRPr="003D2664">
        <w:rPr>
          <w:i/>
        </w:rPr>
        <w:t>)</w:t>
      </w:r>
    </w:p>
    <w:p w:rsidR="00645688" w:rsidRDefault="00645688">
      <w:pPr>
        <w:pStyle w:val="QuesNo"/>
        <w:spacing w:after="0"/>
        <w:ind w:left="288" w:firstLine="0"/>
      </w:pPr>
      <w:r>
        <w:t>Samantha has been unemployed for some time and is very short of money. She learned that the local blood bank has a severe shortage of her type of blood and, therefore, is willing to pay $120 for each blood donation. Samantha gives blood twice a week for 12 weeks, receiving $120 for each donation. Are these funds includable in Samantha's gross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 xml:space="preserve">Hint: </w:t>
      </w:r>
      <w:r>
        <w:rPr>
          <w:i/>
          <w:sz w:val="22"/>
        </w:rPr>
        <w:t>Green v. Comm</w:t>
      </w:r>
      <w:r>
        <w:rPr>
          <w:sz w:val="22"/>
        </w:rPr>
        <w:t>. 74 T.C. 1229 (1980)</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Does Samantha have income as a result of the funds she received for donating her blood?</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Samantha must recognize as income the payments she received for selling her blood.</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Code Section 61 states that gross income includes income from all sources unless specifically excluded. In </w:t>
      </w:r>
      <w:r>
        <w:rPr>
          <w:i/>
          <w:sz w:val="22"/>
        </w:rPr>
        <w:t>Green v. Comm</w:t>
      </w:r>
      <w:r>
        <w:rPr>
          <w:sz w:val="22"/>
        </w:rPr>
        <w:t>, 74 T.C. 1229 (1980), the Court concluded that payments received for “donations” of blood plasma were income received in the trade or business of selling the product of blood plasma.</w:t>
      </w:r>
    </w:p>
    <w:p w:rsidR="00122DB7" w:rsidRDefault="00645688" w:rsidP="00A06D51">
      <w:pPr>
        <w:spacing w:before="120"/>
        <w:ind w:left="864"/>
      </w:pPr>
      <w:r>
        <w:rPr>
          <w:i/>
          <w:sz w:val="22"/>
        </w:rPr>
        <w:t>Note to instructor</w:t>
      </w:r>
      <w:r>
        <w:rPr>
          <w:sz w:val="22"/>
        </w:rPr>
        <w:t xml:space="preserve">: This case also addresses the deductibility of expenses for transportation to give blood, expenses for special food and drugs, health insurance, and a depletion allowance. Although some expenses were deductible, the taxpayer was not permitted an allowance for depletion.  </w:t>
      </w:r>
    </w:p>
    <w:p w:rsidR="00CD1372" w:rsidRDefault="00CD1372">
      <w:pPr>
        <w:rPr>
          <w:sz w:val="22"/>
        </w:rPr>
      </w:pPr>
    </w:p>
    <w:p w:rsidR="00645688" w:rsidRDefault="00A06D51">
      <w:pPr>
        <w:pStyle w:val="QuesNo"/>
        <w:spacing w:after="0"/>
        <w:ind w:left="0" w:firstLine="0"/>
        <w:rPr>
          <w:i/>
        </w:rPr>
      </w:pPr>
      <w:r>
        <w:t>7</w:t>
      </w:r>
      <w:r w:rsidR="0030695B">
        <w:t>5</w:t>
      </w:r>
      <w:r w:rsidR="00645688">
        <w:t xml:space="preserve">. </w:t>
      </w:r>
      <w:r w:rsidR="008C5767">
        <w:t xml:space="preserve">[LO 3.4] </w:t>
      </w:r>
      <w:r w:rsidR="00645688">
        <w:rPr>
          <w:i/>
        </w:rPr>
        <w:t>Payment of Life Insurance Premiums as Alimony</w:t>
      </w:r>
      <w:r w:rsidR="005B17B9">
        <w:rPr>
          <w:i/>
        </w:rPr>
        <w:t xml:space="preserve"> (can be solved using free Internet sources</w:t>
      </w:r>
      <w:r w:rsidR="008C5767">
        <w:rPr>
          <w:i/>
        </w:rPr>
        <w:t xml:space="preserve"> if citations are provided to students</w:t>
      </w:r>
      <w:r w:rsidR="005B17B9">
        <w:rPr>
          <w:i/>
        </w:rPr>
        <w:t>)</w:t>
      </w:r>
    </w:p>
    <w:p w:rsidR="00645688" w:rsidRDefault="00645688">
      <w:pPr>
        <w:pStyle w:val="QuesNo"/>
        <w:widowControl/>
        <w:spacing w:after="0"/>
        <w:ind w:left="288" w:firstLine="0"/>
      </w:pPr>
      <w:r>
        <w:t xml:space="preserve">Alice and Manny </w:t>
      </w:r>
      <w:r w:rsidR="00C04DAC">
        <w:t>finalized their</w:t>
      </w:r>
      <w:r>
        <w:t xml:space="preserve"> divorce</w:t>
      </w:r>
      <w:r w:rsidR="00C04DAC">
        <w:t xml:space="preserve"> agreement in late 2018</w:t>
      </w:r>
      <w:r>
        <w:t>. Manny purchase and assign</w:t>
      </w:r>
      <w:r w:rsidR="00C04DAC">
        <w:t>ed</w:t>
      </w:r>
      <w:r>
        <w:t xml:space="preserve"> to </w:t>
      </w:r>
      <w:r w:rsidR="00C04DAC">
        <w:t>Alice</w:t>
      </w:r>
      <w:r>
        <w:t xml:space="preserve"> a life insurance policy on </w:t>
      </w:r>
      <w:r w:rsidR="008C5767">
        <w:t>his life</w:t>
      </w:r>
      <w:r>
        <w:t xml:space="preserve"> as part of the divorce agreement. Manny </w:t>
      </w:r>
      <w:r w:rsidR="00C04DAC">
        <w:t xml:space="preserve">agreed </w:t>
      </w:r>
      <w:r>
        <w:t>to continue paying the premiums on this policy for the next 10 years. Manny wants to know if the premium payments will be treated as alimony.</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Hints: Reg. Section 1.71-1T(b), Q&amp;A 6 and Rev. Rul. 70-218, 1970-1 C.B. 19.</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Will Manny’s payments of the life insurance premiums qualify as alimony?</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the premium payments will qualify as alimony providing that </w:t>
      </w:r>
      <w:smartTag w:uri="urn:schemas-microsoft-com:office:smarttags" w:element="place">
        <w:smartTag w:uri="urn:schemas-microsoft-com:office:smarttags" w:element="City">
          <w:r>
            <w:rPr>
              <w:sz w:val="22"/>
            </w:rPr>
            <w:t>Alice</w:t>
          </w:r>
        </w:smartTag>
      </w:smartTag>
      <w:r>
        <w:rPr>
          <w:sz w:val="22"/>
        </w:rPr>
        <w:t xml:space="preserve"> is the irrevocable beneficiary of the life insurance policy assigned to her.</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w:t>
      </w:r>
      <w:r w:rsidR="00B060F6">
        <w:rPr>
          <w:sz w:val="22"/>
        </w:rPr>
        <w:t xml:space="preserve">Reg. Section </w:t>
      </w:r>
      <w:r>
        <w:rPr>
          <w:sz w:val="22"/>
        </w:rPr>
        <w:t xml:space="preserve">1.71-1T(b), Q&amp;A 6 states that premiums paid by the payor spouse for term or whole life insurance on the payor’s life under the </w:t>
      </w:r>
      <w:r>
        <w:rPr>
          <w:sz w:val="22"/>
        </w:rPr>
        <w:lastRenderedPageBreak/>
        <w:t>terms of the divorce or separation instrument will qualify as payments on behalf of the payee spouse to the extent that the payee spouse is the owner of the policy. Rev. Rul.70-218, 1970-1 C.B. determined that when a life insurance policy on the life of the husband is assigned to the wife and she is the irrevocable beneficiary, the premiums are deductible as alimony by the husband and taxable to the wife.</w:t>
      </w:r>
    </w:p>
    <w:p w:rsidR="00F75A9C" w:rsidRDefault="00F75A9C">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p w:rsidR="00F75A9C" w:rsidRDefault="00F75A9C">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Note that due to the Tax Cuts and Jobs Act (TCJA), alimony covered under a divorce agreement finalized after 2018 will not be taxable or deductible.  The TCJA made no change to divorce agreements finalized by December 31, 2018.</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p w:rsidR="00645688" w:rsidRDefault="00A06D51" w:rsidP="00374B7F">
      <w:pPr>
        <w:pStyle w:val="QuesNo"/>
        <w:keepNext/>
        <w:keepLines/>
        <w:spacing w:after="0"/>
        <w:ind w:left="0" w:firstLine="0"/>
        <w:jc w:val="left"/>
        <w:rPr>
          <w:i/>
        </w:rPr>
      </w:pPr>
      <w:r>
        <w:t>7</w:t>
      </w:r>
      <w:r w:rsidR="0030695B">
        <w:t>6</w:t>
      </w:r>
      <w:r w:rsidR="00645688">
        <w:t xml:space="preserve">. </w:t>
      </w:r>
      <w:r w:rsidR="008C5767">
        <w:t xml:space="preserve">[LO 3.4 &amp; 3.5] </w:t>
      </w:r>
      <w:r w:rsidR="005B17B9">
        <w:rPr>
          <w:i/>
        </w:rPr>
        <w:t xml:space="preserve">Income vs. </w:t>
      </w:r>
      <w:r w:rsidR="00645688">
        <w:rPr>
          <w:i/>
        </w:rPr>
        <w:t>Gif</w:t>
      </w:r>
      <w:r w:rsidR="005B17B9">
        <w:rPr>
          <w:i/>
        </w:rPr>
        <w:t>t (can be solved using free Internet sources</w:t>
      </w:r>
      <w:r w:rsidR="00106B29">
        <w:rPr>
          <w:i/>
        </w:rPr>
        <w:t xml:space="preserve"> if citations are provided to students</w:t>
      </w:r>
      <w:r w:rsidR="005B17B9">
        <w:rPr>
          <w:i/>
        </w:rPr>
        <w:t>)</w:t>
      </w:r>
    </w:p>
    <w:p w:rsidR="00645688" w:rsidRDefault="00645688" w:rsidP="00374B7F">
      <w:pPr>
        <w:pStyle w:val="QuesNo"/>
        <w:keepNext/>
        <w:keepLines/>
        <w:widowControl/>
        <w:spacing w:after="0"/>
        <w:ind w:left="288" w:firstLine="0"/>
      </w:pPr>
      <w:r>
        <w:t xml:space="preserve">A minister receives an annual salary of $16,000 in addition to the use of a church parsonage with an annual rental value of $6,000. The minister accepted this minimal salary because he felt that was all the church could afford to pay. He plans to report these amounts on his income tax return but he is uncertain how to treat the cash gifts he receives from the members of his congregation. These gifts </w:t>
      </w:r>
      <w:r w:rsidR="00A06D51">
        <w:t>are</w:t>
      </w:r>
      <w:r>
        <w:t xml:space="preserve"> made out of love and admiration for him. During the year the congregation developed a regular procedure for making gifts on special occasions. Approximately two weeks before each special occasion when the minister was not present, the associate pastor announced before the service that those who wished to contribute to the special occasion gifts could do so by placing cash in envelopes and giving them to the associate who would give them to the minister. Only cash was accepted to preserve anonymity.  The church did not keep a record of the amounts given nor the contributors, but the minister estimates that these gifts amount to about $10,000 in the current year.</w:t>
      </w:r>
      <w:r w:rsidR="00FA482B">
        <w:t xml:space="preserve"> How should he treat these gifts?</w:t>
      </w:r>
    </w:p>
    <w:p w:rsidR="005B17B9" w:rsidRPr="005B17B9" w:rsidRDefault="005B17B9">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sidRPr="005B17B9">
        <w:rPr>
          <w:sz w:val="22"/>
        </w:rPr>
        <w:t xml:space="preserve">Hint: </w:t>
      </w:r>
      <w:r w:rsidRPr="005B17B9">
        <w:rPr>
          <w:i/>
          <w:sz w:val="22"/>
        </w:rPr>
        <w:t>Goodwin</w:t>
      </w:r>
      <w:r w:rsidR="00494574">
        <w:rPr>
          <w:i/>
          <w:sz w:val="22"/>
        </w:rPr>
        <w:t>, Lloyd L., Reverend</w:t>
      </w:r>
      <w:r w:rsidRPr="005B17B9">
        <w:rPr>
          <w:i/>
          <w:sz w:val="22"/>
        </w:rPr>
        <w:t xml:space="preserve"> v. U.S.</w:t>
      </w:r>
      <w:r>
        <w:rPr>
          <w:sz w:val="22"/>
        </w:rPr>
        <w:t>, 76 AFTR 2d 95-671</w:t>
      </w:r>
      <w:r w:rsidR="001F0D4C">
        <w:rPr>
          <w:sz w:val="22"/>
        </w:rPr>
        <w:t>6</w:t>
      </w:r>
      <w:r>
        <w:rPr>
          <w:sz w:val="22"/>
        </w:rPr>
        <w:t>, 67 F3rd 149, 95-2 USTC ¶50534 (1995, CA8)</w:t>
      </w:r>
      <w:r w:rsidR="00494574">
        <w:rPr>
          <w:sz w:val="22"/>
        </w:rPr>
        <w:t>; affirming 74 AFTR 2d 94-6987 (DC IA).</w:t>
      </w:r>
      <w:r w:rsidR="00B77A02">
        <w:rPr>
          <w:sz w:val="22"/>
        </w:rPr>
        <w:t>Also see Wayne Felton, TC Memo 2018-168, RIA TC Memo ¶2018-168, 116 CCH TCM 365.</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Issue:</w:t>
      </w:r>
      <w:r>
        <w:rPr>
          <w:sz w:val="22"/>
        </w:rPr>
        <w:t xml:space="preserve">  How should the minister treat the $10,000 in cash gifts?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The minister should </w:t>
      </w:r>
      <w:r w:rsidR="002C4626">
        <w:rPr>
          <w:sz w:val="22"/>
        </w:rPr>
        <w:t>include the $10,000</w:t>
      </w:r>
      <w:r>
        <w:rPr>
          <w:sz w:val="22"/>
        </w:rPr>
        <w:t xml:space="preserve"> </w:t>
      </w:r>
      <w:r w:rsidR="002C4626">
        <w:rPr>
          <w:sz w:val="22"/>
        </w:rPr>
        <w:t xml:space="preserve">in </w:t>
      </w:r>
      <w:r>
        <w:rPr>
          <w:sz w:val="22"/>
        </w:rPr>
        <w:t>his gross income</w:t>
      </w:r>
      <w:r w:rsidR="002C4626">
        <w:rPr>
          <w:sz w:val="22"/>
        </w:rPr>
        <w:t xml:space="preserve"> as compensation</w:t>
      </w:r>
      <w:r>
        <w:rPr>
          <w:sz w:val="22"/>
        </w:rPr>
        <w: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sidR="00B060F6">
        <w:rPr>
          <w:sz w:val="22"/>
        </w:rPr>
        <w:t xml:space="preserve">  Code Section </w:t>
      </w:r>
      <w:r>
        <w:rPr>
          <w:sz w:val="22"/>
        </w:rPr>
        <w:t>61(a) provides that gross income includes all income from whatever source derived unless excluded by a specific provis</w:t>
      </w:r>
      <w:r w:rsidR="00B060F6">
        <w:rPr>
          <w:sz w:val="22"/>
        </w:rPr>
        <w:t xml:space="preserve">ion of the Code.  According to Section </w:t>
      </w:r>
      <w:r>
        <w:rPr>
          <w:sz w:val="22"/>
        </w:rPr>
        <w:t>61(a)(1), compensation for services, in whatever form received, i</w:t>
      </w:r>
      <w:r w:rsidR="00B060F6">
        <w:rPr>
          <w:sz w:val="22"/>
        </w:rPr>
        <w:t>s includable in gross income. Section</w:t>
      </w:r>
      <w:r w:rsidR="002C4626">
        <w:rPr>
          <w:sz w:val="22"/>
        </w:rPr>
        <w:t xml:space="preserve"> </w:t>
      </w:r>
      <w:r>
        <w:rPr>
          <w:sz w:val="22"/>
        </w:rPr>
        <w:t>102(a) excludes from gross income the value of property acquired by gift. Whe</w:t>
      </w:r>
      <w:r w:rsidR="00B060F6">
        <w:rPr>
          <w:sz w:val="22"/>
        </w:rPr>
        <w:t>ther a payment is a gift under S</w:t>
      </w:r>
      <w:r>
        <w:rPr>
          <w:sz w:val="22"/>
        </w:rPr>
        <w:t>ection 102(a) or gross income under section 61(a) is a factual question</w:t>
      </w:r>
      <w:r w:rsidR="002C4626">
        <w:rPr>
          <w:sz w:val="22"/>
        </w:rPr>
        <w:t>.</w:t>
      </w:r>
    </w:p>
    <w:p w:rsidR="00645688" w:rsidRDefault="00645688" w:rsidP="001F0D4C">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ab/>
      </w:r>
      <w:r w:rsidR="00734E58">
        <w:rPr>
          <w:sz w:val="22"/>
        </w:rPr>
        <w:t xml:space="preserve">In </w:t>
      </w:r>
      <w:r w:rsidR="00B060F6" w:rsidRPr="00734E58">
        <w:rPr>
          <w:i/>
          <w:sz w:val="22"/>
        </w:rPr>
        <w:t>Goodwin v. U.S</w:t>
      </w:r>
      <w:r w:rsidR="00B060F6">
        <w:rPr>
          <w:sz w:val="22"/>
        </w:rPr>
        <w:t>.</w:t>
      </w:r>
      <w:r w:rsidR="00734E58">
        <w:rPr>
          <w:sz w:val="22"/>
        </w:rPr>
        <w:t xml:space="preserve">, </w:t>
      </w:r>
      <w:r w:rsidR="00B060F6">
        <w:rPr>
          <w:sz w:val="22"/>
        </w:rPr>
        <w:t>a</w:t>
      </w:r>
      <w:r>
        <w:rPr>
          <w:sz w:val="22"/>
        </w:rPr>
        <w:t xml:space="preserve"> minister </w:t>
      </w:r>
      <w:r w:rsidR="00B060F6">
        <w:rPr>
          <w:sz w:val="22"/>
        </w:rPr>
        <w:t xml:space="preserve">received gifts from members of his congregation who believed he was a good minister and wanted to reward him. </w:t>
      </w:r>
      <w:r w:rsidR="00734E58">
        <w:rPr>
          <w:sz w:val="22"/>
        </w:rPr>
        <w:t>The payments were made on a regular basis, were systematically organized and collected by church personnel, were substantial compared to the minister’s salary, and were made to retain the minister’s services. The court held that these factors showed that the intent was to increase the minister’s compensation. The fact that the payments were anonymous and were not coerced did not change the result. Therefore the so-called gifts were part of the minister’s taxable compensation.</w:t>
      </w:r>
    </w:p>
    <w:p w:rsidR="00C04DAC" w:rsidRDefault="00C04DAC" w:rsidP="00C04DAC">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ab/>
        <w:t xml:space="preserve">In </w:t>
      </w:r>
      <w:r>
        <w:rPr>
          <w:i/>
          <w:sz w:val="22"/>
        </w:rPr>
        <w:t>Felton</w:t>
      </w:r>
      <w:r>
        <w:rPr>
          <w:sz w:val="22"/>
        </w:rPr>
        <w:t>, a minister received gifts from members of his congregation via special envelopes that were earmarked as nondeductible pastoral gifts and separate from regular church tithes and offerings. Despite the gift label, the court determined that these donations were taxable income because the members’ intent in giving them was to keep the pastor, who did not take a salary during the years at issue.</w:t>
      </w:r>
    </w:p>
    <w:p w:rsidR="00C04DAC" w:rsidRDefault="00C04DAC" w:rsidP="001F0D4C">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sectPr w:rsidR="00C04DAC" w:rsidSect="00A62549">
      <w:headerReference w:type="even" r:id="rId8"/>
      <w:headerReference w:type="default" r:id="rId9"/>
      <w:headerReference w:type="first" r:id="rId10"/>
      <w:endnotePr>
        <w:numFmt w:val="decimal"/>
      </w:endnotePr>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E48" w:rsidRDefault="00C97E48">
      <w:r>
        <w:separator/>
      </w:r>
    </w:p>
  </w:endnote>
  <w:endnote w:type="continuationSeparator" w:id="0">
    <w:p w:rsidR="00C97E48" w:rsidRDefault="00C97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E48" w:rsidRDefault="00C97E48">
      <w:r>
        <w:separator/>
      </w:r>
    </w:p>
  </w:footnote>
  <w:footnote w:type="continuationSeparator" w:id="0">
    <w:p w:rsidR="00C97E48" w:rsidRDefault="00C97E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36" w:rsidRDefault="00B664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rFonts w:ascii="Arial" w:hAnsi="Arial"/>
        <w:b/>
        <w:sz w:val="18"/>
      </w:rPr>
    </w:pP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90661A">
      <w:rPr>
        <w:rFonts w:ascii="Arial" w:hAnsi="Arial"/>
        <w:b/>
        <w:noProof/>
        <w:sz w:val="18"/>
      </w:rPr>
      <w:t>2</w:t>
    </w:r>
    <w:r>
      <w:rPr>
        <w:rFonts w:ascii="Arial" w:hAnsi="Arial"/>
        <w:b/>
        <w:sz w:val="18"/>
      </w:rPr>
      <w:fldChar w:fldCharType="end"/>
    </w:r>
    <w:r>
      <w:rPr>
        <w:rFonts w:ascii="Arial" w:hAnsi="Arial"/>
        <w:b/>
        <w:sz w:val="18"/>
      </w:rPr>
      <w:t xml:space="preserve">  Taxation for Decision Makers Research Solutions</w:t>
    </w:r>
  </w:p>
  <w:p w:rsidR="00B66436" w:rsidRDefault="00B66436">
    <w:pPr>
      <w:widowControl w:val="0"/>
      <w:spacing w:line="240" w:lineRule="exac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36" w:rsidRDefault="00B66436">
    <w:pPr>
      <w:widowControl w:val="0"/>
      <w:tabs>
        <w:tab w:val="right" w:pos="10080"/>
      </w:tabs>
      <w:jc w:val="right"/>
      <w:rPr>
        <w:rFonts w:ascii="Arial" w:hAnsi="Arial"/>
        <w:b/>
        <w:sz w:val="18"/>
      </w:rPr>
    </w:pPr>
    <w:r>
      <w:rPr>
        <w:rFonts w:ascii="Arial" w:hAnsi="Arial"/>
        <w:b/>
        <w:sz w:val="18"/>
      </w:rPr>
      <w:t xml:space="preserve">Solutions to Develop Research Skills Problems  </w:t>
    </w: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90661A">
      <w:rPr>
        <w:rFonts w:ascii="Arial" w:hAnsi="Arial"/>
        <w:b/>
        <w:noProof/>
        <w:sz w:val="18"/>
      </w:rPr>
      <w:t>3</w:t>
    </w:r>
    <w:r>
      <w:rPr>
        <w:rFonts w:ascii="Arial" w:hAnsi="Arial"/>
        <w:b/>
        <w:sz w:val="18"/>
      </w:rPr>
      <w:fldChar w:fldCharType="end"/>
    </w:r>
  </w:p>
  <w:p w:rsidR="00B66436" w:rsidRDefault="00B66436">
    <w:pPr>
      <w:widowControl w:val="0"/>
      <w:spacing w:line="240" w:lineRule="exact"/>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36" w:rsidRDefault="00B66436">
    <w:pPr>
      <w:pStyle w:val="Header"/>
      <w:rPr>
        <w:rFonts w:ascii="Arial" w:hAnsi="Arial"/>
        <w:sz w:val="18"/>
      </w:rPr>
    </w:pPr>
  </w:p>
  <w:p w:rsidR="00B66436" w:rsidRDefault="00B66436">
    <w:pPr>
      <w:pStyle w:val="Header"/>
      <w:rPr>
        <w:rFonts w:ascii="Arial" w:hAnsi="Arial"/>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3390F"/>
    <w:multiLevelType w:val="singleLevel"/>
    <w:tmpl w:val="573026E4"/>
    <w:lvl w:ilvl="0">
      <w:start w:val="1"/>
      <w:numFmt w:val="decimal"/>
      <w:lvlText w:val="%1."/>
      <w:lvlJc w:val="left"/>
      <w:pPr>
        <w:tabs>
          <w:tab w:val="num" w:pos="2088"/>
        </w:tabs>
        <w:ind w:left="2088" w:hanging="432"/>
      </w:pPr>
      <w:rPr>
        <w:rFonts w:hint="default"/>
      </w:rPr>
    </w:lvl>
  </w:abstractNum>
  <w:abstractNum w:abstractNumId="1">
    <w:nsid w:val="5C893DE2"/>
    <w:multiLevelType w:val="hybridMultilevel"/>
    <w:tmpl w:val="EA7AE442"/>
    <w:lvl w:ilvl="0" w:tplc="332434AC">
      <w:start w:val="1"/>
      <w:numFmt w:val="decimal"/>
      <w:lvlText w:val="(%1)"/>
      <w:lvlJc w:val="left"/>
      <w:pPr>
        <w:tabs>
          <w:tab w:val="num" w:pos="1080"/>
        </w:tabs>
        <w:ind w:left="1080" w:hanging="360"/>
      </w:pPr>
      <w:rPr>
        <w:rFonts w:hint="default"/>
      </w:rPr>
    </w:lvl>
    <w:lvl w:ilvl="1" w:tplc="259A11B0" w:tentative="1">
      <w:start w:val="1"/>
      <w:numFmt w:val="lowerLetter"/>
      <w:lvlText w:val="%2."/>
      <w:lvlJc w:val="left"/>
      <w:pPr>
        <w:tabs>
          <w:tab w:val="num" w:pos="1800"/>
        </w:tabs>
        <w:ind w:left="1800" w:hanging="360"/>
      </w:pPr>
    </w:lvl>
    <w:lvl w:ilvl="2" w:tplc="DD98914C" w:tentative="1">
      <w:start w:val="1"/>
      <w:numFmt w:val="lowerRoman"/>
      <w:lvlText w:val="%3."/>
      <w:lvlJc w:val="right"/>
      <w:pPr>
        <w:tabs>
          <w:tab w:val="num" w:pos="2520"/>
        </w:tabs>
        <w:ind w:left="2520" w:hanging="180"/>
      </w:pPr>
    </w:lvl>
    <w:lvl w:ilvl="3" w:tplc="9E664616" w:tentative="1">
      <w:start w:val="1"/>
      <w:numFmt w:val="decimal"/>
      <w:lvlText w:val="%4."/>
      <w:lvlJc w:val="left"/>
      <w:pPr>
        <w:tabs>
          <w:tab w:val="num" w:pos="3240"/>
        </w:tabs>
        <w:ind w:left="3240" w:hanging="360"/>
      </w:pPr>
    </w:lvl>
    <w:lvl w:ilvl="4" w:tplc="0BC862C6" w:tentative="1">
      <w:start w:val="1"/>
      <w:numFmt w:val="lowerLetter"/>
      <w:lvlText w:val="%5."/>
      <w:lvlJc w:val="left"/>
      <w:pPr>
        <w:tabs>
          <w:tab w:val="num" w:pos="3960"/>
        </w:tabs>
        <w:ind w:left="3960" w:hanging="360"/>
      </w:pPr>
    </w:lvl>
    <w:lvl w:ilvl="5" w:tplc="B502BEB6" w:tentative="1">
      <w:start w:val="1"/>
      <w:numFmt w:val="lowerRoman"/>
      <w:lvlText w:val="%6."/>
      <w:lvlJc w:val="right"/>
      <w:pPr>
        <w:tabs>
          <w:tab w:val="num" w:pos="4680"/>
        </w:tabs>
        <w:ind w:left="4680" w:hanging="180"/>
      </w:pPr>
    </w:lvl>
    <w:lvl w:ilvl="6" w:tplc="DB90A9C8" w:tentative="1">
      <w:start w:val="1"/>
      <w:numFmt w:val="decimal"/>
      <w:lvlText w:val="%7."/>
      <w:lvlJc w:val="left"/>
      <w:pPr>
        <w:tabs>
          <w:tab w:val="num" w:pos="5400"/>
        </w:tabs>
        <w:ind w:left="5400" w:hanging="360"/>
      </w:pPr>
    </w:lvl>
    <w:lvl w:ilvl="7" w:tplc="E606362A" w:tentative="1">
      <w:start w:val="1"/>
      <w:numFmt w:val="lowerLetter"/>
      <w:lvlText w:val="%8."/>
      <w:lvlJc w:val="left"/>
      <w:pPr>
        <w:tabs>
          <w:tab w:val="num" w:pos="6120"/>
        </w:tabs>
        <w:ind w:left="6120" w:hanging="360"/>
      </w:pPr>
    </w:lvl>
    <w:lvl w:ilvl="8" w:tplc="316C4FF2" w:tentative="1">
      <w:start w:val="1"/>
      <w:numFmt w:val="lowerRoman"/>
      <w:lvlText w:val="%9."/>
      <w:lvlJc w:val="right"/>
      <w:pPr>
        <w:tabs>
          <w:tab w:val="num" w:pos="6840"/>
        </w:tabs>
        <w:ind w:left="6840" w:hanging="180"/>
      </w:pPr>
    </w:lvl>
  </w:abstractNum>
  <w:abstractNum w:abstractNumId="2">
    <w:nsid w:val="6F9D27C4"/>
    <w:multiLevelType w:val="hybridMultilevel"/>
    <w:tmpl w:val="97067062"/>
    <w:lvl w:ilvl="0" w:tplc="1A42A108">
      <w:start w:val="1"/>
      <w:numFmt w:val="bullet"/>
      <w:lvlText w:val=""/>
      <w:legacy w:legacy="1" w:legacySpace="0" w:legacyIndent="360"/>
      <w:lvlJc w:val="left"/>
      <w:pPr>
        <w:ind w:left="1656" w:hanging="360"/>
      </w:pPr>
      <w:rPr>
        <w:rFonts w:ascii="Symbol" w:hAnsi="Symbol" w:hint="default"/>
      </w:rPr>
    </w:lvl>
    <w:lvl w:ilvl="1" w:tplc="2BB2D25E" w:tentative="1">
      <w:start w:val="1"/>
      <w:numFmt w:val="bullet"/>
      <w:lvlText w:val="o"/>
      <w:lvlJc w:val="left"/>
      <w:pPr>
        <w:tabs>
          <w:tab w:val="num" w:pos="2448"/>
        </w:tabs>
        <w:ind w:left="2448" w:hanging="360"/>
      </w:pPr>
      <w:rPr>
        <w:rFonts w:ascii="Courier New" w:hAnsi="Courier New" w:hint="default"/>
      </w:rPr>
    </w:lvl>
    <w:lvl w:ilvl="2" w:tplc="F01C0194" w:tentative="1">
      <w:start w:val="1"/>
      <w:numFmt w:val="bullet"/>
      <w:lvlText w:val=""/>
      <w:lvlJc w:val="left"/>
      <w:pPr>
        <w:tabs>
          <w:tab w:val="num" w:pos="3168"/>
        </w:tabs>
        <w:ind w:left="3168" w:hanging="360"/>
      </w:pPr>
      <w:rPr>
        <w:rFonts w:ascii="Wingdings" w:hAnsi="Wingdings" w:hint="default"/>
      </w:rPr>
    </w:lvl>
    <w:lvl w:ilvl="3" w:tplc="01C2AC50" w:tentative="1">
      <w:start w:val="1"/>
      <w:numFmt w:val="bullet"/>
      <w:lvlText w:val=""/>
      <w:lvlJc w:val="left"/>
      <w:pPr>
        <w:tabs>
          <w:tab w:val="num" w:pos="3888"/>
        </w:tabs>
        <w:ind w:left="3888" w:hanging="360"/>
      </w:pPr>
      <w:rPr>
        <w:rFonts w:ascii="Symbol" w:hAnsi="Symbol" w:hint="default"/>
      </w:rPr>
    </w:lvl>
    <w:lvl w:ilvl="4" w:tplc="EFECDB48" w:tentative="1">
      <w:start w:val="1"/>
      <w:numFmt w:val="bullet"/>
      <w:lvlText w:val="o"/>
      <w:lvlJc w:val="left"/>
      <w:pPr>
        <w:tabs>
          <w:tab w:val="num" w:pos="4608"/>
        </w:tabs>
        <w:ind w:left="4608" w:hanging="360"/>
      </w:pPr>
      <w:rPr>
        <w:rFonts w:ascii="Courier New" w:hAnsi="Courier New" w:hint="default"/>
      </w:rPr>
    </w:lvl>
    <w:lvl w:ilvl="5" w:tplc="10FAA21C" w:tentative="1">
      <w:start w:val="1"/>
      <w:numFmt w:val="bullet"/>
      <w:lvlText w:val=""/>
      <w:lvlJc w:val="left"/>
      <w:pPr>
        <w:tabs>
          <w:tab w:val="num" w:pos="5328"/>
        </w:tabs>
        <w:ind w:left="5328" w:hanging="360"/>
      </w:pPr>
      <w:rPr>
        <w:rFonts w:ascii="Wingdings" w:hAnsi="Wingdings" w:hint="default"/>
      </w:rPr>
    </w:lvl>
    <w:lvl w:ilvl="6" w:tplc="BD0AA0F8" w:tentative="1">
      <w:start w:val="1"/>
      <w:numFmt w:val="bullet"/>
      <w:lvlText w:val=""/>
      <w:lvlJc w:val="left"/>
      <w:pPr>
        <w:tabs>
          <w:tab w:val="num" w:pos="6048"/>
        </w:tabs>
        <w:ind w:left="6048" w:hanging="360"/>
      </w:pPr>
      <w:rPr>
        <w:rFonts w:ascii="Symbol" w:hAnsi="Symbol" w:hint="default"/>
      </w:rPr>
    </w:lvl>
    <w:lvl w:ilvl="7" w:tplc="DCD2EA3C" w:tentative="1">
      <w:start w:val="1"/>
      <w:numFmt w:val="bullet"/>
      <w:lvlText w:val="o"/>
      <w:lvlJc w:val="left"/>
      <w:pPr>
        <w:tabs>
          <w:tab w:val="num" w:pos="6768"/>
        </w:tabs>
        <w:ind w:left="6768" w:hanging="360"/>
      </w:pPr>
      <w:rPr>
        <w:rFonts w:ascii="Courier New" w:hAnsi="Courier New" w:hint="default"/>
      </w:rPr>
    </w:lvl>
    <w:lvl w:ilvl="8" w:tplc="AC20F334" w:tentative="1">
      <w:start w:val="1"/>
      <w:numFmt w:val="bullet"/>
      <w:lvlText w:val=""/>
      <w:lvlJc w:val="left"/>
      <w:pPr>
        <w:tabs>
          <w:tab w:val="num" w:pos="7488"/>
        </w:tabs>
        <w:ind w:left="74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5C"/>
    <w:rsid w:val="00034048"/>
    <w:rsid w:val="00034D57"/>
    <w:rsid w:val="000371CD"/>
    <w:rsid w:val="000551FA"/>
    <w:rsid w:val="0008713E"/>
    <w:rsid w:val="0009172B"/>
    <w:rsid w:val="000D5017"/>
    <w:rsid w:val="00100AB1"/>
    <w:rsid w:val="00106B29"/>
    <w:rsid w:val="00116B39"/>
    <w:rsid w:val="001179E9"/>
    <w:rsid w:val="001227B0"/>
    <w:rsid w:val="00122DB7"/>
    <w:rsid w:val="00125476"/>
    <w:rsid w:val="0012596B"/>
    <w:rsid w:val="001C1FBF"/>
    <w:rsid w:val="001F0D4C"/>
    <w:rsid w:val="002043F4"/>
    <w:rsid w:val="00236EB2"/>
    <w:rsid w:val="002A0F6F"/>
    <w:rsid w:val="002C1BF6"/>
    <w:rsid w:val="002C4626"/>
    <w:rsid w:val="002E0E52"/>
    <w:rsid w:val="002F7D96"/>
    <w:rsid w:val="0030695B"/>
    <w:rsid w:val="0034796D"/>
    <w:rsid w:val="00373D4D"/>
    <w:rsid w:val="00374B7F"/>
    <w:rsid w:val="003A7DA5"/>
    <w:rsid w:val="003D2664"/>
    <w:rsid w:val="003F54AD"/>
    <w:rsid w:val="00425249"/>
    <w:rsid w:val="00437187"/>
    <w:rsid w:val="00482BB7"/>
    <w:rsid w:val="00487BC4"/>
    <w:rsid w:val="00494574"/>
    <w:rsid w:val="004C46BE"/>
    <w:rsid w:val="005111F2"/>
    <w:rsid w:val="005131A5"/>
    <w:rsid w:val="005401F7"/>
    <w:rsid w:val="00553B90"/>
    <w:rsid w:val="00557AB4"/>
    <w:rsid w:val="0056725C"/>
    <w:rsid w:val="0057547A"/>
    <w:rsid w:val="00587125"/>
    <w:rsid w:val="005B17B9"/>
    <w:rsid w:val="005E374C"/>
    <w:rsid w:val="005F2AB5"/>
    <w:rsid w:val="00607ECF"/>
    <w:rsid w:val="006167A5"/>
    <w:rsid w:val="00645688"/>
    <w:rsid w:val="00670E83"/>
    <w:rsid w:val="00686BD1"/>
    <w:rsid w:val="006B3E34"/>
    <w:rsid w:val="00703FDF"/>
    <w:rsid w:val="00734E58"/>
    <w:rsid w:val="007354DF"/>
    <w:rsid w:val="00747B55"/>
    <w:rsid w:val="00766FC3"/>
    <w:rsid w:val="0077530D"/>
    <w:rsid w:val="007C307D"/>
    <w:rsid w:val="007E6E97"/>
    <w:rsid w:val="007E7878"/>
    <w:rsid w:val="0088190D"/>
    <w:rsid w:val="008C5767"/>
    <w:rsid w:val="008F5F3E"/>
    <w:rsid w:val="008F73A5"/>
    <w:rsid w:val="0090661A"/>
    <w:rsid w:val="009871EA"/>
    <w:rsid w:val="009A5D70"/>
    <w:rsid w:val="00A06D51"/>
    <w:rsid w:val="00A22A08"/>
    <w:rsid w:val="00A24771"/>
    <w:rsid w:val="00A27F74"/>
    <w:rsid w:val="00A42C5C"/>
    <w:rsid w:val="00A62549"/>
    <w:rsid w:val="00A65BC7"/>
    <w:rsid w:val="00A7069C"/>
    <w:rsid w:val="00AD462C"/>
    <w:rsid w:val="00B060F6"/>
    <w:rsid w:val="00B66436"/>
    <w:rsid w:val="00B77A02"/>
    <w:rsid w:val="00B81B25"/>
    <w:rsid w:val="00B92BDD"/>
    <w:rsid w:val="00BC0304"/>
    <w:rsid w:val="00BF6CE4"/>
    <w:rsid w:val="00C04DAC"/>
    <w:rsid w:val="00C122A3"/>
    <w:rsid w:val="00C239D5"/>
    <w:rsid w:val="00C5252C"/>
    <w:rsid w:val="00C70205"/>
    <w:rsid w:val="00C72ECA"/>
    <w:rsid w:val="00C96B9F"/>
    <w:rsid w:val="00C97E48"/>
    <w:rsid w:val="00CB5978"/>
    <w:rsid w:val="00CD1372"/>
    <w:rsid w:val="00D17970"/>
    <w:rsid w:val="00D47A6D"/>
    <w:rsid w:val="00D72A15"/>
    <w:rsid w:val="00D73782"/>
    <w:rsid w:val="00DC63A6"/>
    <w:rsid w:val="00E410E4"/>
    <w:rsid w:val="00E509C1"/>
    <w:rsid w:val="00E65A13"/>
    <w:rsid w:val="00EA57FE"/>
    <w:rsid w:val="00F21EF8"/>
    <w:rsid w:val="00F24A64"/>
    <w:rsid w:val="00F452A2"/>
    <w:rsid w:val="00F60E36"/>
    <w:rsid w:val="00F75A9C"/>
    <w:rsid w:val="00FA09C9"/>
    <w:rsid w:val="00FA482B"/>
    <w:rsid w:val="00FC1DFB"/>
    <w:rsid w:val="00FD240F"/>
    <w:rsid w:val="00FD2B43"/>
    <w:rsid w:val="00FE19B3"/>
    <w:rsid w:val="00FF5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1684</Words>
  <Characters>9605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Research Solutions</vt:lpstr>
    </vt:vector>
  </TitlesOfParts>
  <Company/>
  <LinksUpToDate>false</LinksUpToDate>
  <CharactersWithSpaces>11267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Solutions</dc:title>
  <dc:subject>Taxation for Decision Makers</dc:subject>
  <dc:creator>Shirley Dennis-Escoffier</dc:creator>
  <cp:lastModifiedBy>Shirley</cp:lastModifiedBy>
  <cp:revision>2</cp:revision>
  <cp:lastPrinted>2003-05-19T19:54:00Z</cp:lastPrinted>
  <dcterms:created xsi:type="dcterms:W3CDTF">2019-06-14T01:06:00Z</dcterms:created>
  <dcterms:modified xsi:type="dcterms:W3CDTF">2019-06-14T01:06:00Z</dcterms:modified>
</cp:coreProperties>
</file>