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business that is legally separate and distinct from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users need reports about the economic activities and condition of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 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by senior executives started as what they considered to be small ethical lapses which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like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typically lead to ethical violations are relevance and timeliness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general-purpose financial statement would be a report about projected price increases related to transportation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businesses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retail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principle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 requires that economic data be recorded in dollars for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can be expressed as Assets – Liabilities = Stockholder's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stockholders.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stockholders'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stockholders'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stockholders'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company was $50,000, $20,000 in cash dividends were paid and the shareholders invested $10,000 in cash, the stockholders' equity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 to stockholders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financial statements of a corporation are the income statement,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and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reports the changes in stockholder's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operating activities, cash flows from income activities, and cash flows from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are all examples of a retail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 Lines, Marriott, 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Amazon.com, Delta Air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are considered to be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internal users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stockholders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its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guidelines for behaving ethically?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5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the decision.</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your decision based on personal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items below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regards to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type of business that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principle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Security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the authoritative body in the United States having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unit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The Focus Company initially offered to buy the land for $177,000.  The companies settled on a purchase price of $212,000.  On the same day, another piece of land on the same block sold for $232,000.  Under the cost principle,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stockholders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Expenses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Stockholders'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stockholders' equity increased by $60,000 during the same period, the amount and direction (increase or decrease) of the period's change in total assets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in payment of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monetary value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for selling goods or services to customers </w:t>
            </w:r>
            <w:r>
              <w:rPr>
                <w:rStyle w:val="DefaultParagraphFont"/>
                <w:rFonts w:ascii="Times New Roman" w:eastAsia="Times New Roman" w:hAnsi="Times New Roman" w:cs="Times New Roman"/>
                <w:b w:val="0"/>
                <w:bCs w:val="0"/>
                <w:i w:val="0"/>
                <w:iCs w:val="0"/>
                <w:smallCaps w:val="0"/>
                <w:color w:val="000000"/>
                <w:sz w:val="22"/>
                <w:szCs w:val="22"/>
                <w:bdr w:val="nil"/>
                <w:rtl w:val="0"/>
              </w:rPr>
              <w:t>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stockholders' equity increased by $71,000 during the same period, then the amount and direction (increase or decrease) of the period's change in total liabilities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payment of rent for equipment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stockholders'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stockholders'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the end of its accounting period, December 31, Year 1, Great Plains Company has assets of $940,000 and liabilities of $300,000.  During Year 2, stockholders invested an additional $73,000 and received $33,000 in dividends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stockholders'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Corporation is starting its computer programming business and has sold stock of $15,000.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tockholders' equity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Ramos Repair Company is paying a cash dividend.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stockholders' equity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stockholders' equity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the CEO, buys $15,000 in stock, placing the money in a bank account in the name of Bob's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Bob's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supplies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period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Four financial statements are usually prepared for a business.  The statement of cash flows is usually prepared last.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(SSE)</w:t>
            </w:r>
            <w:r>
              <w:rPr>
                <w:rStyle w:val="DefaultParagraphFont"/>
                <w:rFonts w:ascii="Times New Roman" w:eastAsia="Times New Roman" w:hAnsi="Times New Roman" w:cs="Times New Roman"/>
                <w:b w:val="0"/>
                <w:bCs w:val="0"/>
                <w:i w:val="0"/>
                <w:iCs w:val="0"/>
                <w:smallCaps w:val="0"/>
                <w:color w:val="000000"/>
                <w:sz w:val="22"/>
                <w:szCs w:val="22"/>
                <w:bdr w:val="nil"/>
                <w:rtl w:val="0"/>
              </w:rPr>
              <w:t>,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SSE,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SSE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SSE,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SSE,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in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account appears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shareholder wanted to know how money flowed into and out of the company, which financial statement would the shareholder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statements regarding the ratio of liabilities to stockholders' equity are true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ratio of 1 indicates that liabilities equal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sole proprietorships can use this ratio but substitute total owner's equity for 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business types with each business listed below.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business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preparation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club and spa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book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modular homebuilder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 men’s clothing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dressmaking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characteristics with the form of business entity that best describes it.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90% of business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ability to obtain large amounts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transaction with its effect on the accounting equation.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decrease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assets,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utility bill to be paid next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 of land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Paid part of an amount owed to a creditor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Paid cash for the purchase of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payment from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a service to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for common stock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money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equipment for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Used up supplies that were already on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financial statement it describes. Each financial statement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three sections: operating, investing and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only revenues and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connecting link between the income statement and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Managerial accounting reports often include sensitive information, for example about customers, prices, or plans to expand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HealthSouth, and Xerox Corporation have been caught in the midst of ethical lapses that led to fines, firings, and criminal and/or civil prosecution. List and briefly describe two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factors are: (1) individual character and (2) company culture of greed and ethical indifference. Honesty, integrity, and fairness in the face of pressure to hide the truth are important characteristics of an ethical business person. The behavior and attitude of senior management set a firm’s culture. That culture in turn flows down to lower-level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either internal or external users of accounting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companies, identify whether they are a service, retail, or manufacturing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3480" w:type="dxa"/>
              <w:jc w:val="left"/>
              <w:tblBorders>
                <w:top w:val="nil"/>
                <w:left w:val="nil"/>
                <w:bottom w:val="nil"/>
                <w:right w:val="nil"/>
                <w:insideH w:val="nil"/>
                <w:insideV w:val="nil"/>
              </w:tblBorders>
              <w:tblCellMar>
                <w:top w:w="0" w:type="dxa"/>
                <w:left w:w="0" w:type="dxa"/>
                <w:bottom w:w="0" w:type="dxa"/>
                <w:right w:w="0" w:type="dxa"/>
              </w:tblCellMar>
            </w:tblPr>
            <w:tblGrid>
              <w:gridCol w:w="822"/>
              <w:gridCol w:w="2658"/>
            </w:tblGrid>
            <w:tr>
              <w:tblPrEx>
                <w:tblW w:w="3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Kohl's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Regal Cinemas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Applebee’s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3600" w:type="dxa"/>
                    <w:jc w:val="left"/>
                    <w:tblBorders>
                      <w:top w:val="nil"/>
                      <w:left w:val="nil"/>
                      <w:bottom w:val="nil"/>
                      <w:right w:val="nil"/>
                      <w:insideH w:val="nil"/>
                      <w:insideV w:val="nil"/>
                    </w:tblBorders>
                    <w:tblCellMar>
                      <w:top w:w="0" w:type="dxa"/>
                      <w:left w:w="0" w:type="dxa"/>
                      <w:bottom w:w="0" w:type="dxa"/>
                      <w:right w:w="0" w:type="dxa"/>
                    </w:tblCellMar>
                  </w:tblPr>
                  <w:tblGrid>
                    <w:gridCol w:w="683"/>
                    <w:gridCol w:w="2917"/>
                  </w:tblGrid>
                  <w:tr>
                    <w:tblPrEx>
                      <w:tblW w:w="36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major disadvantage of disregarding the cost principle and constantly revaluing assets based on appraisals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would become unstable and unreliable.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The Focus Company initially offered to buy the land for $107,000.  The companies settled on a purchase price of $115,000.  On the same day, another piece of land on the same block sold for $122,000.  Under the cost principle, what is the amount that will be used to record this transaction in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limits the economic data in an accounting system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related directly to the activities of the business. In other words,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viewed as an entity separate from its owners, creditors, or other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objective evidence. In exchanges between a buyer and a seller, both try to get the best price. Only the final agreed-upon amount is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enough to be recorded in the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 requires that economic data in the United States be recorded in U.S. dollars. Money is a common unit of measurement for entering financial data and preparing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assumption, economic data is limited to the direct activities of the business.  The business is viewed as separate from its owner.  Therefore, when Bob buys a personal automobile, it is not listed on the books of Johnson’s Carpet Cleaning, unless Bob invests it in the business.  In this case, the loan is a personal debt and not a liability of the company, and the cash is from Bob’s personal account and not the company’s account.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9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CEO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at the end of the next year, assuming that assets increased by $65,000 and liabilities increased by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765" w:type="dxa"/>
                    <w:jc w:val="left"/>
                    <w:tblBorders>
                      <w:top w:val="nil"/>
                      <w:left w:val="nil"/>
                      <w:bottom w:val="nil"/>
                      <w:right w:val="nil"/>
                      <w:insideH w:val="nil"/>
                      <w:insideV w:val="nil"/>
                    </w:tblBorders>
                    <w:tblCellMar>
                      <w:top w:w="0" w:type="dxa"/>
                      <w:left w:w="0" w:type="dxa"/>
                      <w:bottom w:w="0" w:type="dxa"/>
                      <w:right w:w="0" w:type="dxa"/>
                    </w:tblCellMar>
                  </w:tblPr>
                  <w:tblGrid>
                    <w:gridCol w:w="541"/>
                    <w:gridCol w:w="9224"/>
                  </w:tblGrid>
                  <w:tr>
                    <w:tblPrEx>
                      <w:tblW w:w="97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pStyle w:val="p"/>
                          <w:bidi w:val="0"/>
                          <w:spacing w:before="0" w:beforeAutospacing="0" w:after="0" w:afterAutospacing="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$125,000)</w:t>
                        </w:r>
                      </w:p>
                    </w:tc>
                  </w:tr>
                  <w:tr>
                    <w:tblPrEx>
                      <w:tblW w:w="9765" w:type="dxa"/>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$65,000)  − ($125,000 + $35,000)]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 fourth of the total assets.  Krammer’s stockholders'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($53,000 – $32,000)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$40,900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$198,280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independent questions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stockholders' equity was $38,000. During the year, assets increased by $18,000 and liabilities increased by $4,000.  What was the stockholders' equity at the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stockholders' equity of $66,000.  If assets increased by $10,000 and liabilities decreased by $5,000,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 of 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 of 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stockholders' equity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its accounting period, December 31, of Year 1, Hsu’s Financial Services has assets of $575,000 and stockholders'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shareholders' equity 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 were $450,000, and there were no additional investments or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shareholders'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$193,000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accounts represents an asset, liability, or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2"/>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
                    <w:gridCol w:w="7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stockholders' equity,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stockholders' equity,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stockholders' equity,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$225,000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 balances from the company’s records for the year ended December 31. Use this information to answer the question that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9210" w:type="dxa"/>
              <w:jc w:val="left"/>
              <w:tblBorders>
                <w:top w:val="nil"/>
                <w:left w:val="nil"/>
                <w:bottom w:val="nil"/>
                <w:right w:val="nil"/>
                <w:insideH w:val="nil"/>
                <w:insideV w:val="nil"/>
              </w:tblBorders>
              <w:tblCellMar>
                <w:top w:w="0" w:type="dxa"/>
                <w:left w:w="0" w:type="dxa"/>
                <w:bottom w:w="0" w:type="dxa"/>
                <w:right w:w="0" w:type="dxa"/>
              </w:tblCellMar>
            </w:tblPr>
            <w:tblGrid>
              <w:gridCol w:w="356"/>
              <w:gridCol w:w="3049"/>
              <w:gridCol w:w="1192"/>
              <w:gridCol w:w="356"/>
              <w:gridCol w:w="2864"/>
              <w:gridCol w:w="1393"/>
            </w:tblGrid>
            <w:tr>
              <w:tblPrEx>
                <w:tblW w:w="92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25" w:type="dxa"/>
                    <w:jc w:val="left"/>
                    <w:tblBorders>
                      <w:top w:val="nil"/>
                      <w:left w:val="nil"/>
                      <w:bottom w:val="nil"/>
                      <w:right w:val="nil"/>
                      <w:insideH w:val="nil"/>
                      <w:insideV w:val="nil"/>
                    </w:tblBorders>
                    <w:tblCellMar>
                      <w:top w:w="0" w:type="dxa"/>
                      <w:left w:w="0" w:type="dxa"/>
                      <w:bottom w:w="0" w:type="dxa"/>
                      <w:right w:w="0" w:type="dxa"/>
                    </w:tblCellMar>
                  </w:tblPr>
                  <w:tblGrid>
                    <w:gridCol w:w="7425"/>
                  </w:tblGrid>
                  <w:tr>
                    <w:tblPrEx>
                      <w:tblW w:w="74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w:t>
                        </w:r>
                      </w:p>
                    </w:tc>
                  </w:tr>
                  <w:tr>
                    <w:tblPrEx>
                      <w:tblW w:w="7425"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$16,000 Accounts receivable + $64,000 Equipment = $110,000)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50" w:type="dxa"/>
                    <w:jc w:val="left"/>
                    <w:tblBorders>
                      <w:top w:val="nil"/>
                      <w:left w:val="nil"/>
                      <w:bottom w:val="nil"/>
                      <w:right w:val="nil"/>
                      <w:insideH w:val="nil"/>
                      <w:insideV w:val="nil"/>
                    </w:tblBorders>
                    <w:tblCellMar>
                      <w:top w:w="0" w:type="dxa"/>
                      <w:left w:w="0" w:type="dxa"/>
                      <w:bottom w:w="0" w:type="dxa"/>
                      <w:right w:w="0" w:type="dxa"/>
                    </w:tblCellMar>
                  </w:tblPr>
                  <w:tblGrid>
                    <w:gridCol w:w="6750"/>
                  </w:tblGrid>
                  <w:tr>
                    <w:tblPrEx>
                      <w:tblW w:w="67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$17,000</w:t>
                        </w:r>
                      </w:p>
                    </w:tc>
                  </w:tr>
                  <w:tr>
                    <w:tblPrEx>
                      <w:tblW w:w="6750"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$17,000)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is Scott Industries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 Salaries &amp; wages expense + $44,000 Selling expenses  + $18,000 Income taxes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made the following selected transactions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sale of stock,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dividends to stockholders,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the utility bill, $160, to be paid next month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 - (A)assets, (L)liabilities, (SE)stockholders' equity, (R)revenue, and (E)expense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by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9"/>
              <w:gridCol w:w="796"/>
              <w:gridCol w:w="1163"/>
              <w:gridCol w:w="1071"/>
              <w:gridCol w:w="1163"/>
              <w:gridCol w:w="798"/>
              <w:gridCol w:w="981"/>
              <w:gridCol w:w="1073"/>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142"/>
                    <w:gridCol w:w="775"/>
                    <w:gridCol w:w="934"/>
                    <w:gridCol w:w="751"/>
                    <w:gridCol w:w="836"/>
                    <w:gridCol w:w="775"/>
                    <w:gridCol w:w="934"/>
                    <w:gridCol w:w="751"/>
                    <w:gridCol w:w="836"/>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3390"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Ramirez Company received its first electric bill in the amount of $60 which will be paid next month.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70"/>
              <w:gridCol w:w="7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(Accounts Payable) and decrease shareholders’ equity (Utilities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Payment of cash dividends to stockholders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stockholders'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total amount of the seller’s (1) assets,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on a loan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Stockholders'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Austin Land Company sold land for $85,000 in cash.  The land was originally purchased for $65,000.  At the time of the sale, $40,000 was still owed to Regions Bank. After the sale, The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18"/>
              <w:gridCol w:w="7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(Loan payoff to Regions Bank)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increases $20,000 (Sales price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four transactions that affect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two types of transactions that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additional common stock by stockholders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Payment of dividends to stockholders and increase in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are listed below. The common stock was $120,000 and the retained earnings was $60,000 at April 1, the beginning of the current year. During the year, shareholders purchased an additional $25,000 in stock. Use this information to answer the questions that follow.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each of the following as an (1) increase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or a (2) decrease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1"/>
                    <w:gridCol w:w="7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stockholders' equity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Ending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or net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75"/>
                    <w:gridCol w:w="4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stockholders' equity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dividends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9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15" w:type="dxa"/>
                    <w:jc w:val="left"/>
                    <w:tblBorders>
                      <w:top w:val="nil"/>
                      <w:left w:val="nil"/>
                      <w:bottom w:val="nil"/>
                      <w:right w:val="nil"/>
                      <w:insideH w:val="nil"/>
                      <w:insideV w:val="nil"/>
                    </w:tblBorders>
                    <w:tblCellMar>
                      <w:top w:w="0" w:type="dxa"/>
                      <w:left w:w="0" w:type="dxa"/>
                      <w:bottom w:w="0" w:type="dxa"/>
                      <w:right w:w="0" w:type="dxa"/>
                    </w:tblCellMar>
                  </w:tblPr>
                  <w:tblGrid>
                    <w:gridCol w:w="1467"/>
                    <w:gridCol w:w="2234"/>
                    <w:gridCol w:w="1757"/>
                    <w:gridCol w:w="1757"/>
                  </w:tblGrid>
                  <w:tr>
                    <w:tblPrEx>
                      <w:tblW w:w="72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25,820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Thompson Computer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April 1               $120,000                     $60,000                      $180,000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common stock            25,000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47,630                          47,630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$145,000</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$91,060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$236,060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9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5027"/>
                    <w:gridCol w:w="1678"/>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4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157,630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91,060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93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sale of stock</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00" w:type="dxa"/>
                    <w:jc w:val="left"/>
                    <w:tblBorders>
                      <w:top w:val="nil"/>
                      <w:left w:val="nil"/>
                      <w:bottom w:val="nil"/>
                      <w:right w:val="nil"/>
                      <w:insideH w:val="nil"/>
                      <w:insideV w:val="nil"/>
                    </w:tblBorders>
                    <w:tblCellMar>
                      <w:top w:w="0" w:type="dxa"/>
                      <w:left w:w="0" w:type="dxa"/>
                      <w:bottom w:w="0" w:type="dxa"/>
                      <w:right w:w="0" w:type="dxa"/>
                    </w:tblCellMar>
                  </w:tblPr>
                  <w:tblGrid>
                    <w:gridCol w:w="5400"/>
                    <w:gridCol w:w="1800"/>
                  </w:tblGrid>
                  <w:tr>
                    <w:tblPrEx>
                      <w:tblW w:w="720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7200"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expenses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7200"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 for land</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 received from sale of stock</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$70,180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Investing Activities, and Financing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iCs/>
                <w:smallCaps w:val="0"/>
                <w:color w:val="000000"/>
                <w:sz w:val="22"/>
                <w:szCs w:val="22"/>
                <w:bdr w:val="nil"/>
                <w:rtl w:val="0"/>
              </w:rPr>
              <w:t>Match the following items to the financial statement where they can be found. (Hint: Some of the items can be found on more than one financial statement.)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18"/>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15"/>
                    <w:gridCol w:w="3720"/>
                    <w:gridCol w:w="1950"/>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Answer</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&amp; D</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&amp;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&amp; 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Statement of stockholder's equity: A summary of the changes in stockholder's equity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w:t>
                  </w:r>
                  <w:r>
                    <w:rPr>
                      <w:rStyle w:val="DefaultParagraphFont"/>
                      <w:rFonts w:ascii="Times New Roman" w:eastAsia="Times New Roman" w:hAnsi="Times New Roman" w:cs="Times New Roman"/>
                      <w:b w:val="0"/>
                      <w:bCs w:val="0"/>
                      <w:i w:val="0"/>
                      <w:iCs w:val="0"/>
                      <w:smallCaps w:val="0"/>
                      <w:color w:val="000000"/>
                      <w:sz w:val="22"/>
                      <w:szCs w:val="22"/>
                      <w:bdr w:val="nil"/>
                      <w:rtl w:val="0"/>
                    </w:rPr>
                    <w:t>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2"/>
              <w:gridCol w:w="3728"/>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operating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$12,120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party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9,480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4785"/>
                    <w:gridCol w:w="1650"/>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435"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435"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from financing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$36,270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61"/>
              <w:gridCol w:w="9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500"/>
                    <w:gridCol w:w="3000"/>
                    <w:gridCol w:w="750"/>
                    <w:gridCol w:w="75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52,810</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$45,625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Rocky's Day Spa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2618"/>
                    <w:gridCol w:w="3272"/>
                    <w:gridCol w:w="825"/>
                    <w:gridCol w:w="20"/>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52"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Assets</w:t>
                        </w:r>
                      </w:p>
                    </w:tc>
                    <w:tc>
                      <w:tcPr>
                        <w:tcW w:w="8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Spa furniture </w:t>
                        </w:r>
                        <w:r>
                          <w:rPr>
                            <w:rStyle w:val="DefaultParagraphFont"/>
                            <w:rFonts w:ascii="Times New Roman" w:eastAsia="Times New Roman" w:hAnsi="Times New Roman" w:cs="Times New Roman"/>
                            <w:b w:val="0"/>
                            <w:bCs w:val="0"/>
                            <w:i w:val="0"/>
                            <w:iCs w:val="0"/>
                            <w:smallCaps w:val="0"/>
                            <w:color w:val="000000"/>
                            <w:sz w:val="22"/>
                            <w:szCs w:val="22"/>
                            <w:bdr w:val="nil"/>
                            <w:rtl w:val="0"/>
                          </w:rPr>
                          <w:t>&amp; equipment</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56,000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18"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34"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834"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$58,000</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834"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27,455</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261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85,455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stockholder's equity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Rocky’s Day Spa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$48,000                        $20,000                       $68,000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common stock              10,000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45,625                         45,625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$27,455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$85,455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items taken from Lamar’s accounting records, identify those that would appear on the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accounts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activities would be reported on the statement of cash flows as an operating activity, an investing activity, a financing activity, or does not appear on the cash flow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a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Borrowed cash from a bank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88"/>
                    <w:gridCol w:w="7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shareholders purchased $15,000 of common stock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shareholders were paid $40,000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shareholders purchased $12,000 of common stock and were paid $16,000 in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Revenues for the year totaled $198,150 and expenses totaled $174,200.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shareholders were paid $35,000 dividends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$35,800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$45,500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$23,950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4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and Palaces at the beginning and at the end of the current fiscal year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t>No additional common stock was issued and no dividends were paid.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at the end of the year are unchanged from the amounts presented above.  However, the shareholders were paid $53,000 in cash dividends during the year (no additional purchase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$35,000 of common stock in June of the current fiscal year (no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$12,000 of common stock in August of the current fiscal year and were paid twelve monthly cash dividends of $1,500 each during the year.</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8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Stockholders'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transaction data of a business for September are summarized below.  Determine the following amounts for September:  (a) total revenue, (b) total expenses, (c) net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included above)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$43,250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$17,750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common stock and retained earnings in Richard’s Catering Company was $100,000 and $50,000, respectively.  During March, stockholders were paid $31,000 in dividends from the business.  The amounts of the various assets, liabilities, revenues, and expenses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88,400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in good form, (a) an income statement for March, (b) a statement of stockholder's equity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1"/>
              <w:gridCol w:w="9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35,110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815" w:type="dxa"/>
                    <w:jc w:val="left"/>
                    <w:tblBorders>
                      <w:top w:val="nil"/>
                      <w:left w:val="nil"/>
                      <w:bottom w:val="nil"/>
                      <w:right w:val="nil"/>
                      <w:insideH w:val="nil"/>
                      <w:insideV w:val="nil"/>
                    </w:tblBorders>
                    <w:tblCellMar>
                      <w:top w:w="0" w:type="dxa"/>
                      <w:left w:w="0" w:type="dxa"/>
                      <w:bottom w:w="0" w:type="dxa"/>
                      <w:right w:w="0" w:type="dxa"/>
                    </w:tblCellMar>
                  </w:tblPr>
                  <w:tblGrid>
                    <w:gridCol w:w="7815"/>
                  </w:tblGrid>
                  <w:tr>
                    <w:tblPrEx>
                      <w:tblW w:w="78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1      $100,000                  $50,000                     $150,000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29,840                         29,840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$48,840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240" w:type="dxa"/>
                    <w:jc w:val="left"/>
                    <w:tblBorders>
                      <w:top w:val="nil"/>
                      <w:left w:val="nil"/>
                      <w:bottom w:val="nil"/>
                      <w:right w:val="nil"/>
                      <w:insideH w:val="nil"/>
                      <w:insideV w:val="nil"/>
                    </w:tblBorders>
                    <w:tblCellMar>
                      <w:top w:w="0" w:type="dxa"/>
                      <w:left w:w="0" w:type="dxa"/>
                      <w:bottom w:w="0" w:type="dxa"/>
                      <w:right w:w="0" w:type="dxa"/>
                    </w:tblCellMar>
                  </w:tblPr>
                  <w:tblGrid>
                    <w:gridCol w:w="2110"/>
                    <w:gridCol w:w="3103"/>
                    <w:gridCol w:w="1027"/>
                  </w:tblGrid>
                  <w:tr>
                    <w:tblPrEx>
                      <w:tblW w:w="62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270"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w:t>
                        </w:r>
                      </w:p>
                    </w:tc>
                  </w:tr>
                  <w:tr>
                    <w:tblPrEx>
                      <w:tblW w:w="624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p>
                    </w:tc>
                    <w:tc>
                      <w:tcPr>
                        <w:tcW w:w="1160" w:type="dxa"/>
                        <w:gridSpan w:val="2"/>
                        <w:noWrap w:val="0"/>
                        <w:tcMar>
                          <w:top w:w="0" w:type="dxa"/>
                          <w:left w:w="0" w:type="dxa"/>
                          <w:bottom w:w="0" w:type="dxa"/>
                          <w:right w:w="0" w:type="dxa"/>
                        </w:tcMar>
                        <w:vAlign w:val="top"/>
                      </w:tcPr>
                      <w:p>
                        <w:pPr>
                          <w:bidi w:val="0"/>
                          <w:jc w:val="left"/>
                        </w:pP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60"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48,840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stockholders' equity</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r>
                    <w:tblPrEx>
                      <w:tblW w:w="624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an income statement for Bright Futures Company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8,520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statement of stockholders' equity for Bright Futures Company for the month ended August 31. </w:t>
            </w:r>
            <w:r>
              <w:rPr>
                <w:rStyle w:val="DefaultParagraphFont"/>
                <w:rFonts w:ascii="Times New Roman" w:eastAsia="Times New Roman" w:hAnsi="Times New Roman" w:cs="Times New Roman"/>
                <w:b w:val="0"/>
                <w:bCs w:val="0"/>
                <w:i w:val="0"/>
                <w:iCs w:val="0"/>
                <w:smallCaps w:val="0"/>
                <w:color w:val="000000"/>
                <w:sz w:val="22"/>
                <w:szCs w:val="22"/>
                <w:bdr w:val="nil"/>
                <w:rtl w:val="0"/>
              </w:rPr>
              <w:t>No common stock was issued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Bright Futures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1           $10,000                     $4,320                       $14,320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7,180                           7,180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$10,000</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$10,700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$20,700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balance sheet for Bright Futures Company for the month ended August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2992"/>
                    <w:gridCol w:w="2992"/>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17,600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10,700</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20,700 </w:t>
                        </w:r>
                      </w:p>
                    </w:tc>
                  </w:tr>
                  <w:tr>
                    <w:tblPrEx>
                      <w:tblW w:w="5985"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 balances of Awesome Travel Services at December 31 are listed below. There were no additional investments or dividends by Awesome Travel Services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31"/>
              <w:gridCol w:w="1108"/>
              <w:gridCol w:w="391"/>
              <w:gridCol w:w="2779"/>
              <w:gridCol w:w="1097"/>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a statement of stockholders' equity, and a balance sheet as of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86"/>
              <w:gridCol w:w="9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651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1626"/>
                    <w:gridCol w:w="2085"/>
                    <w:gridCol w:w="272"/>
                    <w:gridCol w:w="1156"/>
                    <w:gridCol w:w="1156"/>
                  </w:tblGrid>
                  <w:tr>
                    <w:tblPrEx>
                      <w:tblW w:w="65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6"/>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Awesome Travel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$4,000                       $6,000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525" w:type="dxa"/>
                    <w:jc w:val="left"/>
                    <w:tblBorders>
                      <w:top w:val="nil"/>
                      <w:left w:val="nil"/>
                      <w:bottom w:val="nil"/>
                      <w:right w:val="nil"/>
                      <w:insideH w:val="nil"/>
                      <w:insideV w:val="nil"/>
                    </w:tblBorders>
                    <w:tblCellMar>
                      <w:top w:w="0" w:type="dxa"/>
                      <w:left w:w="0" w:type="dxa"/>
                      <w:bottom w:w="0" w:type="dxa"/>
                      <w:right w:w="0" w:type="dxa"/>
                    </w:tblCellMar>
                  </w:tblPr>
                  <w:tblGrid>
                    <w:gridCol w:w="4104"/>
                    <w:gridCol w:w="2375"/>
                    <w:gridCol w:w="46"/>
                  </w:tblGrid>
                  <w:tr>
                    <w:tblPrEx>
                      <w:tblW w:w="65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9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p>
                    </w:tc>
                    <w:tc>
                      <w:tcPr>
                        <w:tcW w:w="1023" w:type="dxa"/>
                        <w:noWrap w:val="0"/>
                        <w:tcMar>
                          <w:top w:w="0" w:type="dxa"/>
                          <w:left w:w="0" w:type="dxa"/>
                          <w:bottom w:w="0" w:type="dxa"/>
                          <w:right w:w="0" w:type="dxa"/>
                        </w:tcMar>
                        <w:vAlign w:val="center"/>
                      </w:tcPr>
                      <w:p>
                        <w:pPr>
                          <w:bidi w:val="0"/>
                        </w:pPr>
                      </w:p>
                    </w:tc>
                    <w:tc>
                      <w:tcPr>
                        <w:tcW w:w="20" w:type="dxa"/>
                        <w:noWrap w:val="0"/>
                        <w:tcMar>
                          <w:top w:w="0" w:type="dxa"/>
                          <w:left w:w="0" w:type="dxa"/>
                          <w:bottom w:w="0" w:type="dxa"/>
                          <w:right w:w="0" w:type="dxa"/>
                        </w:tcMar>
                        <w:vAlign w:val="top"/>
                      </w:tcPr>
                      <w:p>
                        <w:pPr>
                          <w:bidi w:val="0"/>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$ 4,000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4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Schultz Tax Services, a tax preparation business, had the following transactions during the month of June: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Received cash for providing accounting services, $3,000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Billed customers on account for providing services,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Paid advertising expense, $800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Received cash from customers on account, $3,800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Paid shareholder dividends, $1,500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Received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Paid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given above, calculate the balance of cash at June 30. Use the following format.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74"/>
                    <w:gridCol w:w="8102"/>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6,800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2,520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$29,280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6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your answer to two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($128,250/$95,000)         ($120,000/$80,000)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owner’s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5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12/31/Year 2: $150,000/$75,000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12/31/Year 1: $105,000/$60,000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Any twelve-month accounting period adopted by a company is known as its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that ends when business activities have reached their lowest point is called the natural business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must use a calendar year as their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businesses end their fiscal year on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allow users to identify the similarities and differences among reported items are said to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are available for user’s to use in decision making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Relevant and faithful representation of accounting data is enhanced when financial reports are clear and concise. Such reports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said to be verifiable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available in time to influence users'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formatted clearly and concisely.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 the similarities and differences among reported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agree on the meaning of reported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for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begins on the first day of a month and ends on the last day of the following twelfth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determined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begins on January 1 and ends on December 31 of the same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end at the height of the business's annual operating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business year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highest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highest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owned by a business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of owners in a corporation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in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stockholder’s equity of a company are $159,000 and $95,000, respectively.  Liabilities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liabilities and stockholder’s equity of a company are $132,000 and $244,000, respectively.  Assets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the beginning of the year for ATLAS Inc. was $390,000, while its liabilities totaled $230,000. During the year its assets increased by $75,000; its liabilities decreased by $50,000. Which of these is stockholders’ equity at the end of the year for ATLAS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beginning of the year, Winton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assets were $180,000 and its stockholders’ equity was $82,000. During the year, assets increased by $25,000 and liabilities increased by $9,000.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Bennett Designs at December 31, the end of the current year, and its revenue and expenses for the year are listed below. What were the total assets on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$309,840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$33,430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Redfox Pest Control Service had revenues of $425,000 and expenses of $338,000 for the current year, ended June 30. At the beginning of the year, the common stock was $110,000 and the retained earnings was $70,000. During the year, shareholders purchased an additional $25,000 in stock. Dividends of $16,750 were paid. What is the balance of stockholders’ equity at the end of the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$162,000 and expenses totaled $174,000. The stockholders purchased $15,000 of common stock and were paid $6,000 in dividends during the year. What was the net income or net loss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net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Introduction to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Accounting and Business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