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 rules that control a business’s actions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Because laws may change, the ability to analyze and evaluate the legal ramifications of situations as they arise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lasting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secondary source of law establishes the law on a particular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often refer to secondary sources of law for guidance in interpreting and applying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it conflicts with the U.S. Constitution, a state constitution is supreme within that states’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if a state legislature adopts a uniform law does that law become part of the statutory law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federal statute applies only to those states that agree to apply it within their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or a state legislature establishes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Rules issued by administrative agencies affect almost every aspect of a business’s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Federal agency regulations do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give significant weight—deference—to an agency’s judgment and interpretation of its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law is a body of law developed from judicial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precedent is any legal authority or source of law that a court may look to for guidance but need not follow when making its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more than one rule of law will be applicable to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courts of law and equity have merged, the principles of equity are no longer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Courts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Rescission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iCs/>
                <w:smallCaps w:val="0"/>
                <w:color w:val="000000"/>
                <w:sz w:val="24"/>
                <w:szCs w:val="24"/>
                <w:bdr w:val="nil"/>
                <w:rtl w:val="0"/>
              </w:rPr>
              <w:t>Primary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iCs/>
                <w:smallCaps w:val="0"/>
                <w:color w:val="000000"/>
                <w:sz w:val="24"/>
                <w:szCs w:val="24"/>
                <w:bdr w:val="nil"/>
                <w:rtl w:val="0"/>
              </w:rPr>
              <w:t>Secondary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sets forth a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limits nor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be enforced only within that state’s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not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facilitates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model laws developed by the 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Persons who favor the creation of a federal agency to regulate the production of genetically modified agricultural products should concentrate their lobbying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agencies that oversee agricultural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Securities and Exchange Commission decides to create a new rule relating to the dissemination of material nonpublic information through social media. The first step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compile the rule with others in the </w:t>
                  </w:r>
                  <w:r>
                    <w:rPr>
                      <w:rStyle w:val="DefaultParagraphFont"/>
                      <w:b w:val="0"/>
                      <w:bCs w:val="0"/>
                      <w:i/>
                      <w:iCs/>
                      <w:smallCaps w:val="0"/>
                      <w:color w:val="000000"/>
                      <w:sz w:val="20"/>
                      <w:szCs w:val="20"/>
                      <w:bdr w:val="nil"/>
                      <w:rtl w:val="0"/>
                    </w:rPr>
                    <w:t>Federal Register</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draft the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publish a notice of the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solicit public comment.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precedent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chief executive officer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court decision that furnishes an example for deciding subsequent cases involving similar or identical facts or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lawsuit in which a number of persons join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4"/>
                <w:szCs w:val="24"/>
                <w:bdr w:val="nil"/>
                <w:rtl w:val="0"/>
              </w:rPr>
              <w:t>Jurisdiction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4"/>
                <w:szCs w:val="24"/>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government policy based on widely held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4"/>
                <w:szCs w:val="24"/>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disregard the </w:t>
                  </w:r>
                  <w:r>
                    <w:rPr>
                      <w:rStyle w:val="DefaultParagraphFont"/>
                      <w:b w:val="0"/>
                      <w:bCs w:val="0"/>
                      <w:i/>
                      <w:iCs/>
                      <w:smallCaps w:val="0"/>
                      <w:color w:val="000000"/>
                      <w:sz w:val="20"/>
                      <w:szCs w:val="20"/>
                      <w:bdr w:val="nil"/>
                      <w:rtl w:val="0"/>
                    </w:rPr>
                    <w:t>Beto</w:t>
                  </w:r>
                  <w:r>
                    <w:rPr>
                      <w:rStyle w:val="DefaultParagraphFont"/>
                      <w:b w:val="0"/>
                      <w:bCs w:val="0"/>
                      <w:i w:val="0"/>
                      <w:iCs w:val="0"/>
                      <w:smallCaps w:val="0"/>
                      <w:color w:val="000000"/>
                      <w:sz w:val="20"/>
                      <w:szCs w:val="20"/>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means to enforce a right or compensate for the violation of a right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cornerstone.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Lara and Mick cannot resolve their dispute amicably, Lara initiates a lawsuit against Mick. Lara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case of first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Jaime and Kay enter into a contract for the sale of a bicycle, but Kay later refuses to deliver the goods. Jaime asks a court to order Kay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4"/>
                <w:szCs w:val="24"/>
                <w:bdr w:val="nil"/>
                <w:rtl w:val="0"/>
              </w:rPr>
              <w:t>injunction.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Guillermo, Hailey obtains an award of </w:t>
            </w:r>
            <w:r>
              <w:rPr>
                <w:rStyle w:val="DefaultParagraphFont"/>
                <w:rFonts w:ascii="Times New Roman" w:eastAsia="Times New Roman" w:hAnsi="Times New Roman" w:cs="Times New Roman"/>
                <w:b w:val="0"/>
                <w:bCs w:val="0"/>
                <w:i/>
                <w:iCs/>
                <w:smallCaps w:val="0"/>
                <w:color w:val="000000"/>
                <w:sz w:val="24"/>
                <w:szCs w:val="24"/>
                <w:bdr w:val="nil"/>
                <w:rtl w:val="0"/>
              </w:rPr>
              <w:t>damages.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right to harm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 or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classification of law that concerns the rights and duties that exist between persons and between citizens and their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statutes proscribe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wrongs committed against society for which society demands redress.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To benefit from international trade, individual nations agree to be governed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none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laws of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practice of deciding cases with reference to former decisions, or precedents—the cornerstone of the American legal system—is called the doctrine of </w:t>
                  </w: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 Under this doctrine, judges are obligated to follow the precedents established within their jurisdictions and may use precedents established in other jurisdictions as guidance.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