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BE4" w:rsidRPr="00BC38C1" w:rsidRDefault="00480A2C" w:rsidP="00BC38C1">
      <w:pPr>
        <w:pStyle w:val="Chapternumber"/>
        <w:spacing w:after="240"/>
        <w:ind w:left="0"/>
        <w:rPr>
          <w:rFonts w:ascii="Liberation Sans" w:hAnsi="Liberation Sans"/>
        </w:rPr>
      </w:pPr>
      <w:r w:rsidRPr="00BC38C1">
        <w:rPr>
          <w:rFonts w:ascii="Liberation Sans" w:hAnsi="Liberation Sans"/>
        </w:rPr>
        <w:t>CHAPTER 2</w:t>
      </w:r>
    </w:p>
    <w:p w:rsidR="00996BE4" w:rsidRPr="00BC38C1" w:rsidRDefault="00480A2C" w:rsidP="00BC38C1">
      <w:pPr>
        <w:pStyle w:val="Chaptertitle"/>
        <w:spacing w:before="0" w:after="360"/>
        <w:ind w:left="0"/>
        <w:rPr>
          <w:rFonts w:ascii="Liberation Sans" w:hAnsi="Liberation Sans"/>
        </w:rPr>
      </w:pPr>
      <w:r w:rsidRPr="00BC38C1">
        <w:rPr>
          <w:rFonts w:ascii="Liberation Sans" w:hAnsi="Liberation Sans"/>
        </w:rPr>
        <w:t>Professionalism and Professional Responsibilities</w:t>
      </w:r>
    </w:p>
    <w:p w:rsidR="00996BE4" w:rsidRDefault="00480A2C" w:rsidP="00BC38C1">
      <w:pPr>
        <w:pStyle w:val="1Head"/>
        <w:ind w:left="0"/>
        <w:rPr>
          <w:rFonts w:ascii="Open Sans" w:eastAsia="Arial Unicode MS" w:hAnsi="Open Sans" w:cs="Arial Unicode MS"/>
        </w:rPr>
      </w:pPr>
      <w:r w:rsidRPr="00BC38C1">
        <w:rPr>
          <w:rFonts w:ascii="Open Sans" w:eastAsia="Arial Unicode MS" w:hAnsi="Open Sans" w:cs="Arial Unicode MS"/>
        </w:rPr>
        <w:t>Learning Objectives</w:t>
      </w:r>
    </w:p>
    <w:p w:rsidR="00BC38C1" w:rsidRPr="00034E24" w:rsidRDefault="00BC38C1" w:rsidP="00BC38C1">
      <w:pPr>
        <w:pStyle w:val="BodyA"/>
        <w:rPr>
          <w:rFonts w:ascii="Open Sans" w:hAnsi="Open Sans"/>
        </w:rPr>
      </w:pPr>
    </w:p>
    <w:p w:rsidR="00996BE4" w:rsidRPr="00BC38C1" w:rsidRDefault="00BC38C1" w:rsidP="00BC38C1">
      <w:pPr>
        <w:pStyle w:val="ListParagraph"/>
        <w:numPr>
          <w:ilvl w:val="0"/>
          <w:numId w:val="2"/>
        </w:numPr>
        <w:ind w:left="547" w:hanging="547"/>
        <w:rPr>
          <w:rFonts w:ascii="Open Sans" w:hAnsi="Open Sans"/>
        </w:rPr>
      </w:pPr>
      <w:r>
        <w:rPr>
          <w:rFonts w:ascii="Open Sans" w:hAnsi="Open Sans"/>
        </w:rPr>
        <w:tab/>
      </w:r>
      <w:r w:rsidR="00480A2C" w:rsidRPr="00BC38C1">
        <w:rPr>
          <w:rFonts w:ascii="Open Sans" w:hAnsi="Open Sans"/>
        </w:rPr>
        <w:t>Explain what it means to be a professional and how these traits apply to auditors.</w:t>
      </w:r>
    </w:p>
    <w:p w:rsidR="00996BE4" w:rsidRPr="00BC38C1" w:rsidRDefault="00BC38C1" w:rsidP="00BC38C1">
      <w:pPr>
        <w:pStyle w:val="ListParagraph"/>
        <w:numPr>
          <w:ilvl w:val="0"/>
          <w:numId w:val="2"/>
        </w:numPr>
        <w:ind w:left="547" w:hanging="547"/>
        <w:rPr>
          <w:rFonts w:ascii="Open Sans" w:hAnsi="Open Sans"/>
          <w:i/>
          <w:iCs/>
        </w:rPr>
      </w:pPr>
      <w:r>
        <w:rPr>
          <w:rFonts w:ascii="Open Sans" w:hAnsi="Open Sans"/>
        </w:rPr>
        <w:tab/>
      </w:r>
      <w:r w:rsidR="00480A2C" w:rsidRPr="00BC38C1">
        <w:rPr>
          <w:rFonts w:ascii="Open Sans" w:hAnsi="Open Sans"/>
        </w:rPr>
        <w:t xml:space="preserve">Explain the structure of the AICPA </w:t>
      </w:r>
      <w:r w:rsidR="00480A2C" w:rsidRPr="00BC38C1">
        <w:rPr>
          <w:rFonts w:ascii="Open Sans" w:hAnsi="Open Sans"/>
          <w:i/>
          <w:iCs/>
        </w:rPr>
        <w:t>Code of Professional Conduct</w:t>
      </w:r>
      <w:r w:rsidR="00480A2C" w:rsidRPr="00BC38C1">
        <w:rPr>
          <w:rFonts w:ascii="Open Sans" w:hAnsi="Open Sans"/>
        </w:rPr>
        <w:t>.</w:t>
      </w:r>
    </w:p>
    <w:p w:rsidR="00996BE4" w:rsidRPr="00BC38C1" w:rsidRDefault="00BC38C1" w:rsidP="00BC38C1">
      <w:pPr>
        <w:pStyle w:val="ListParagraph"/>
        <w:numPr>
          <w:ilvl w:val="0"/>
          <w:numId w:val="3"/>
        </w:numPr>
        <w:ind w:left="547" w:hanging="547"/>
        <w:rPr>
          <w:rFonts w:ascii="Open Sans" w:hAnsi="Open Sans"/>
        </w:rPr>
      </w:pPr>
      <w:r>
        <w:rPr>
          <w:rFonts w:ascii="Open Sans" w:hAnsi="Open Sans"/>
        </w:rPr>
        <w:tab/>
      </w:r>
      <w:r w:rsidR="00480A2C" w:rsidRPr="00BC38C1">
        <w:rPr>
          <w:rFonts w:ascii="Open Sans" w:hAnsi="Open Sans"/>
        </w:rPr>
        <w:t>Apply the conceptual framework approach to ethical decision making for members in</w:t>
      </w:r>
      <w:r>
        <w:rPr>
          <w:rFonts w:ascii="Open Sans" w:hAnsi="Open Sans"/>
        </w:rPr>
        <w:t xml:space="preserve"> </w:t>
      </w:r>
      <w:r w:rsidR="00480A2C" w:rsidRPr="00BC38C1">
        <w:rPr>
          <w:rFonts w:ascii="Open Sans" w:hAnsi="Open Sans"/>
        </w:rPr>
        <w:t>public practice.</w:t>
      </w:r>
    </w:p>
    <w:p w:rsidR="00996BE4" w:rsidRPr="00BC38C1" w:rsidRDefault="00BC38C1" w:rsidP="00BC38C1">
      <w:pPr>
        <w:pStyle w:val="ListParagraph"/>
        <w:numPr>
          <w:ilvl w:val="0"/>
          <w:numId w:val="4"/>
        </w:numPr>
        <w:ind w:left="547" w:hanging="547"/>
        <w:rPr>
          <w:rFonts w:ascii="Open Sans" w:hAnsi="Open Sans"/>
        </w:rPr>
      </w:pPr>
      <w:r>
        <w:rPr>
          <w:rFonts w:ascii="Open Sans" w:hAnsi="Open Sans"/>
        </w:rPr>
        <w:tab/>
      </w:r>
      <w:r w:rsidR="00480A2C" w:rsidRPr="00BC38C1">
        <w:rPr>
          <w:rFonts w:ascii="Open Sans" w:hAnsi="Open Sans"/>
        </w:rPr>
        <w:t>Evaluate the ethical behavior needed to comply with rules of conduct on integrity and objectivity.</w:t>
      </w:r>
    </w:p>
    <w:p w:rsidR="00996BE4" w:rsidRPr="00BC38C1" w:rsidRDefault="00BC38C1" w:rsidP="00BC38C1">
      <w:pPr>
        <w:pStyle w:val="ListParagraph"/>
        <w:numPr>
          <w:ilvl w:val="0"/>
          <w:numId w:val="4"/>
        </w:numPr>
        <w:ind w:left="547" w:hanging="547"/>
        <w:rPr>
          <w:rFonts w:ascii="Open Sans" w:hAnsi="Open Sans"/>
        </w:rPr>
      </w:pPr>
      <w:r>
        <w:rPr>
          <w:rFonts w:ascii="Open Sans" w:hAnsi="Open Sans"/>
        </w:rPr>
        <w:tab/>
      </w:r>
      <w:r w:rsidR="00480A2C" w:rsidRPr="00BC38C1">
        <w:rPr>
          <w:rFonts w:ascii="Open Sans" w:hAnsi="Open Sans"/>
        </w:rPr>
        <w:t>Evaluate the ethical behavior needed to comply with rules of conduct on independence.</w:t>
      </w:r>
    </w:p>
    <w:p w:rsidR="00996BE4" w:rsidRPr="00BC38C1" w:rsidRDefault="00BC38C1" w:rsidP="00BC38C1">
      <w:pPr>
        <w:pStyle w:val="ListParagraph"/>
        <w:numPr>
          <w:ilvl w:val="0"/>
          <w:numId w:val="4"/>
        </w:numPr>
        <w:ind w:left="547" w:hanging="547"/>
        <w:rPr>
          <w:rFonts w:ascii="Open Sans" w:hAnsi="Open Sans"/>
        </w:rPr>
      </w:pPr>
      <w:r>
        <w:rPr>
          <w:rFonts w:ascii="Open Sans" w:hAnsi="Open Sans"/>
        </w:rPr>
        <w:tab/>
      </w:r>
      <w:r w:rsidR="00480A2C" w:rsidRPr="00BC38C1">
        <w:rPr>
          <w:rFonts w:ascii="Open Sans" w:hAnsi="Open Sans"/>
        </w:rPr>
        <w:t>Evaluate the ethical behavior needed to comply with rules of conduct on general standards.</w:t>
      </w:r>
    </w:p>
    <w:p w:rsidR="00996BE4" w:rsidRPr="00BC38C1" w:rsidRDefault="00BC38C1" w:rsidP="00BC38C1">
      <w:pPr>
        <w:pStyle w:val="ListParagraph"/>
        <w:numPr>
          <w:ilvl w:val="0"/>
          <w:numId w:val="4"/>
        </w:numPr>
        <w:ind w:left="547" w:hanging="547"/>
        <w:rPr>
          <w:rFonts w:ascii="Open Sans" w:hAnsi="Open Sans"/>
        </w:rPr>
      </w:pPr>
      <w:r>
        <w:rPr>
          <w:rFonts w:ascii="Open Sans" w:hAnsi="Open Sans"/>
        </w:rPr>
        <w:tab/>
      </w:r>
      <w:r w:rsidR="00480A2C" w:rsidRPr="00BC38C1">
        <w:rPr>
          <w:rFonts w:ascii="Open Sans" w:hAnsi="Open Sans"/>
        </w:rPr>
        <w:t>Evaluate the ethical behavior needed to comply with other rules of conduct for members in public practice.</w:t>
      </w:r>
    </w:p>
    <w:p w:rsidR="00996BE4" w:rsidRPr="00BC38C1" w:rsidRDefault="00BC38C1" w:rsidP="00BC38C1">
      <w:pPr>
        <w:pStyle w:val="ListParagraph"/>
        <w:numPr>
          <w:ilvl w:val="0"/>
          <w:numId w:val="2"/>
        </w:numPr>
        <w:ind w:left="547" w:hanging="547"/>
        <w:rPr>
          <w:rFonts w:ascii="Open Sans" w:hAnsi="Open Sans"/>
        </w:rPr>
      </w:pPr>
      <w:r>
        <w:rPr>
          <w:rFonts w:ascii="Open Sans" w:hAnsi="Open Sans"/>
        </w:rPr>
        <w:tab/>
      </w:r>
      <w:r w:rsidR="00480A2C" w:rsidRPr="00BC38C1">
        <w:rPr>
          <w:rFonts w:ascii="Open Sans" w:hAnsi="Open Sans"/>
        </w:rPr>
        <w:t>Evaluate an auditor’s legal liability under common law.</w:t>
      </w:r>
    </w:p>
    <w:p w:rsidR="00996BE4" w:rsidRPr="00BC38C1" w:rsidRDefault="00BC38C1" w:rsidP="00BC38C1">
      <w:pPr>
        <w:pStyle w:val="ListParagraph"/>
        <w:numPr>
          <w:ilvl w:val="0"/>
          <w:numId w:val="2"/>
        </w:numPr>
        <w:ind w:left="547" w:hanging="547"/>
        <w:rPr>
          <w:rFonts w:ascii="Open Sans" w:hAnsi="Open Sans"/>
        </w:rPr>
      </w:pPr>
      <w:r>
        <w:rPr>
          <w:rFonts w:ascii="Open Sans" w:hAnsi="Open Sans"/>
        </w:rPr>
        <w:tab/>
      </w:r>
      <w:r w:rsidR="00480A2C" w:rsidRPr="00BC38C1">
        <w:rPr>
          <w:rFonts w:ascii="Open Sans" w:hAnsi="Open Sans"/>
        </w:rPr>
        <w:t>Evaluate an auditor’s legal liability under statutory law.</w:t>
      </w:r>
    </w:p>
    <w:p w:rsidR="00996BE4" w:rsidRPr="00BC38C1" w:rsidRDefault="00996BE4" w:rsidP="00BC38C1">
      <w:pPr>
        <w:pStyle w:val="BodyA"/>
        <w:ind w:left="547" w:hanging="547"/>
        <w:rPr>
          <w:rFonts w:ascii="Open Sans" w:hAnsi="Open Sans"/>
        </w:rPr>
      </w:pPr>
    </w:p>
    <w:p w:rsidR="00996BE4" w:rsidRPr="00BC38C1" w:rsidRDefault="00996BE4" w:rsidP="00BC38C1">
      <w:pPr>
        <w:pStyle w:val="BodyA"/>
        <w:ind w:left="0"/>
        <w:rPr>
          <w:rFonts w:ascii="Open Sans" w:hAnsi="Open Sans"/>
        </w:rPr>
      </w:pPr>
    </w:p>
    <w:p w:rsidR="00996BE4" w:rsidRPr="00BC38C1" w:rsidRDefault="00480A2C" w:rsidP="00BC38C1">
      <w:pPr>
        <w:pStyle w:val="2Head"/>
        <w:ind w:left="0"/>
        <w:rPr>
          <w:rFonts w:ascii="Open Sans" w:hAnsi="Open Sans"/>
        </w:rPr>
      </w:pPr>
      <w:r w:rsidRPr="00BC38C1">
        <w:rPr>
          <w:rFonts w:ascii="Open Sans" w:hAnsi="Open Sans"/>
        </w:rPr>
        <w:t>ANSWERS TO MULTIPLE-CHOICE QUESTIONS</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rPr>
        <w:t>1. B</w:t>
      </w:r>
    </w:p>
    <w:p w:rsidR="00BC38C1" w:rsidRDefault="00480A2C" w:rsidP="00BC38C1">
      <w:pPr>
        <w:pStyle w:val="BodyA"/>
        <w:ind w:left="0"/>
        <w:rPr>
          <w:rFonts w:ascii="Open Sans" w:hAnsi="Open Sans"/>
          <w:sz w:val="18"/>
          <w:szCs w:val="18"/>
        </w:rPr>
      </w:pPr>
      <w:r w:rsidRPr="00BC38C1">
        <w:rPr>
          <w:rFonts w:ascii="Open Sans" w:hAnsi="Open Sans"/>
          <w:sz w:val="18"/>
          <w:szCs w:val="18"/>
        </w:rPr>
        <w:t>LO 1, BT: C, Difficulty: Easy, TOT: 2 min., AACSB: Ethics, AICPA PC: Ethics</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rPr>
        <w:t>2. D</w:t>
      </w:r>
    </w:p>
    <w:p w:rsidR="00BC38C1" w:rsidRDefault="00480A2C" w:rsidP="00BC38C1">
      <w:pPr>
        <w:pStyle w:val="BodyA"/>
        <w:ind w:left="0"/>
        <w:rPr>
          <w:rFonts w:ascii="Open Sans" w:hAnsi="Open Sans"/>
          <w:sz w:val="18"/>
          <w:szCs w:val="18"/>
        </w:rPr>
      </w:pPr>
      <w:r w:rsidRPr="00BC38C1">
        <w:rPr>
          <w:rFonts w:ascii="Open Sans" w:hAnsi="Open Sans"/>
          <w:sz w:val="18"/>
          <w:szCs w:val="18"/>
        </w:rPr>
        <w:t>LO 2, BT: C, Difficulty: Easy, TOT: 2 min., AACSB: Ethics, AICPA PC: Ethics</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rPr>
        <w:t>3. A</w:t>
      </w:r>
    </w:p>
    <w:p w:rsidR="00996BE4" w:rsidRPr="00BC38C1" w:rsidRDefault="00480A2C" w:rsidP="00BC38C1">
      <w:pPr>
        <w:pStyle w:val="BodyA"/>
        <w:ind w:left="0"/>
        <w:rPr>
          <w:rFonts w:ascii="Open Sans" w:hAnsi="Open Sans"/>
          <w:sz w:val="14"/>
          <w:szCs w:val="14"/>
        </w:rPr>
      </w:pPr>
      <w:r w:rsidRPr="00BC38C1">
        <w:rPr>
          <w:rFonts w:ascii="Open Sans" w:hAnsi="Open Sans"/>
          <w:sz w:val="18"/>
          <w:szCs w:val="18"/>
        </w:rPr>
        <w:t>LO 3, BT: C, Difficulty: Easy, TOT: 2 min., AACSB: Ethics, AICPA PC: Ethics</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rPr>
        <w:t>4. D</w:t>
      </w:r>
    </w:p>
    <w:p w:rsidR="00996BE4" w:rsidRPr="00BC38C1" w:rsidRDefault="00480A2C" w:rsidP="00BC38C1">
      <w:pPr>
        <w:pStyle w:val="BodyA"/>
        <w:ind w:left="0"/>
        <w:rPr>
          <w:rFonts w:ascii="Open Sans" w:hAnsi="Open Sans"/>
          <w:sz w:val="14"/>
          <w:szCs w:val="14"/>
        </w:rPr>
      </w:pPr>
      <w:r w:rsidRPr="00BC38C1">
        <w:rPr>
          <w:rFonts w:ascii="Open Sans" w:hAnsi="Open Sans"/>
          <w:sz w:val="18"/>
          <w:szCs w:val="18"/>
        </w:rPr>
        <w:t>LO 4, BT: C, Difficulty: Easy, TOT: 2 min., AACSB: Ethics, AICPA PC: Ethics</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rPr>
        <w:t>5. A</w:t>
      </w:r>
    </w:p>
    <w:p w:rsidR="00996BE4" w:rsidRPr="00BC38C1" w:rsidRDefault="00480A2C" w:rsidP="00BC38C1">
      <w:pPr>
        <w:pStyle w:val="BodyA"/>
        <w:ind w:left="0"/>
        <w:rPr>
          <w:rFonts w:ascii="Open Sans" w:hAnsi="Open Sans"/>
          <w:sz w:val="14"/>
          <w:szCs w:val="14"/>
        </w:rPr>
      </w:pPr>
      <w:r w:rsidRPr="00BC38C1">
        <w:rPr>
          <w:rFonts w:ascii="Open Sans" w:hAnsi="Open Sans"/>
          <w:sz w:val="18"/>
          <w:szCs w:val="18"/>
        </w:rPr>
        <w:t>LO 5, BT: E, Difficulty: Moderate, TOT: 2 min., AACSB: Ethics, AICPA PC: Ethics, Decision Making</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rPr>
        <w:t>6. C</w:t>
      </w:r>
    </w:p>
    <w:p w:rsidR="00996BE4" w:rsidRPr="00BC38C1" w:rsidRDefault="00480A2C" w:rsidP="00BC38C1">
      <w:pPr>
        <w:pStyle w:val="BodyA"/>
        <w:ind w:left="0"/>
        <w:rPr>
          <w:rFonts w:ascii="Open Sans" w:hAnsi="Open Sans"/>
          <w:sz w:val="14"/>
          <w:szCs w:val="14"/>
        </w:rPr>
      </w:pPr>
      <w:r w:rsidRPr="00BC38C1">
        <w:rPr>
          <w:rFonts w:ascii="Open Sans" w:hAnsi="Open Sans"/>
          <w:sz w:val="18"/>
          <w:szCs w:val="18"/>
        </w:rPr>
        <w:t>LO 5, BT: E, Difficulty: Moderate, TOT: 2 min., AACSB: Ethics, AICPA PC: Ethics, Decision Making</w:t>
      </w:r>
    </w:p>
    <w:p w:rsidR="00996BE4" w:rsidRPr="00BC38C1" w:rsidRDefault="00480A2C" w:rsidP="00BC38C1">
      <w:pPr>
        <w:pStyle w:val="BodyA"/>
        <w:ind w:left="0"/>
        <w:rPr>
          <w:rFonts w:ascii="Open Sans" w:hAnsi="Open Sans"/>
        </w:rPr>
      </w:pPr>
      <w:r w:rsidRPr="00BC38C1">
        <w:rPr>
          <w:rFonts w:ascii="Open Sans" w:hAnsi="Open Sans"/>
        </w:rPr>
        <w:lastRenderedPageBreak/>
        <w:t>7. D</w:t>
      </w:r>
    </w:p>
    <w:p w:rsidR="00BC38C1" w:rsidRDefault="00480A2C" w:rsidP="00BC38C1">
      <w:pPr>
        <w:pStyle w:val="BodyA"/>
        <w:ind w:left="0"/>
        <w:rPr>
          <w:rFonts w:ascii="Open Sans" w:hAnsi="Open Sans"/>
          <w:sz w:val="18"/>
          <w:szCs w:val="18"/>
        </w:rPr>
      </w:pPr>
      <w:r w:rsidRPr="00BC38C1">
        <w:rPr>
          <w:rFonts w:ascii="Open Sans" w:hAnsi="Open Sans"/>
          <w:sz w:val="18"/>
          <w:szCs w:val="18"/>
        </w:rPr>
        <w:t>LO 5, BT: C, Difficulty: Easy, TOT: 2 min., AACSB: Ethics, AICPA PC: Ethics</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rPr>
        <w:t>8. C</w:t>
      </w:r>
    </w:p>
    <w:p w:rsidR="00BC38C1" w:rsidRDefault="00480A2C" w:rsidP="00BC38C1">
      <w:pPr>
        <w:pStyle w:val="BodyA"/>
        <w:ind w:left="0"/>
        <w:rPr>
          <w:rFonts w:ascii="Open Sans" w:hAnsi="Open Sans"/>
          <w:sz w:val="18"/>
          <w:szCs w:val="18"/>
        </w:rPr>
      </w:pPr>
      <w:r w:rsidRPr="00BC38C1">
        <w:rPr>
          <w:rFonts w:ascii="Open Sans" w:hAnsi="Open Sans"/>
          <w:sz w:val="18"/>
          <w:szCs w:val="18"/>
        </w:rPr>
        <w:t>LO 5, BT: C, Difficulty: Moderate, TOT: 2 min., AACSB: Ethics, AICPA PC: Ethics</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rPr>
        <w:t>9. D</w:t>
      </w:r>
    </w:p>
    <w:p w:rsidR="00996BE4" w:rsidRPr="00BC38C1" w:rsidRDefault="00480A2C" w:rsidP="00BC38C1">
      <w:pPr>
        <w:pStyle w:val="BodyA"/>
        <w:ind w:left="0"/>
        <w:rPr>
          <w:rFonts w:ascii="Open Sans" w:hAnsi="Open Sans"/>
          <w:sz w:val="14"/>
          <w:szCs w:val="14"/>
        </w:rPr>
      </w:pPr>
      <w:r w:rsidRPr="00BC38C1">
        <w:rPr>
          <w:rFonts w:ascii="Open Sans" w:hAnsi="Open Sans"/>
          <w:sz w:val="18"/>
          <w:szCs w:val="18"/>
        </w:rPr>
        <w:t>LO 6, BT: C, Difficulty: Easy, TOT: 2 min., AACSB: Ethics, AICPA PC: Ethics</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rPr>
        <w:t>10. B</w:t>
      </w:r>
    </w:p>
    <w:p w:rsidR="00BC38C1" w:rsidRDefault="00480A2C" w:rsidP="00BC38C1">
      <w:pPr>
        <w:pStyle w:val="BodyA"/>
        <w:ind w:left="0"/>
        <w:rPr>
          <w:rFonts w:ascii="Open Sans" w:hAnsi="Open Sans"/>
          <w:sz w:val="18"/>
          <w:szCs w:val="18"/>
        </w:rPr>
      </w:pPr>
      <w:r w:rsidRPr="00BC38C1">
        <w:rPr>
          <w:rFonts w:ascii="Open Sans" w:hAnsi="Open Sans"/>
          <w:sz w:val="18"/>
          <w:szCs w:val="18"/>
        </w:rPr>
        <w:t xml:space="preserve">LO 7, BT: C, Difficulty: Easy, TOT: 2 min., AACSB: Ethics, </w:t>
      </w:r>
      <w:bookmarkStart w:id="0" w:name="_Hlk522807263"/>
      <w:r w:rsidRPr="00BC38C1">
        <w:rPr>
          <w:rFonts w:ascii="Open Sans" w:hAnsi="Open Sans"/>
          <w:sz w:val="18"/>
          <w:szCs w:val="18"/>
        </w:rPr>
        <w:t>AICPA PC: Professional Behavior</w:t>
      </w:r>
      <w:bookmarkEnd w:id="0"/>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rPr>
        <w:t>11. D</w:t>
      </w:r>
    </w:p>
    <w:p w:rsidR="00996BE4" w:rsidRPr="00BC38C1" w:rsidRDefault="00480A2C" w:rsidP="00BC38C1">
      <w:pPr>
        <w:pStyle w:val="BodyA"/>
        <w:ind w:left="0"/>
        <w:rPr>
          <w:rFonts w:ascii="Open Sans" w:hAnsi="Open Sans"/>
          <w:sz w:val="18"/>
          <w:szCs w:val="18"/>
        </w:rPr>
      </w:pPr>
      <w:r w:rsidRPr="00BC38C1">
        <w:rPr>
          <w:rFonts w:ascii="Open Sans" w:hAnsi="Open Sans"/>
          <w:sz w:val="18"/>
          <w:szCs w:val="18"/>
        </w:rPr>
        <w:t>LO 8, BT: C, Difficulty: Easy, TOT: 2 min., AACSB: None, AICPA PC: Professional Behavior</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rPr>
        <w:t>12. C</w:t>
      </w:r>
    </w:p>
    <w:p w:rsidR="00996BE4" w:rsidRPr="00BC38C1" w:rsidRDefault="00480A2C" w:rsidP="00BC38C1">
      <w:pPr>
        <w:pStyle w:val="BodyA"/>
        <w:ind w:left="0"/>
        <w:rPr>
          <w:rFonts w:ascii="Open Sans" w:hAnsi="Open Sans"/>
          <w:sz w:val="18"/>
          <w:szCs w:val="18"/>
        </w:rPr>
      </w:pPr>
      <w:r w:rsidRPr="00BC38C1">
        <w:rPr>
          <w:rFonts w:ascii="Open Sans" w:hAnsi="Open Sans"/>
          <w:sz w:val="18"/>
          <w:szCs w:val="18"/>
        </w:rPr>
        <w:t>LO 8, BT: AP, Difficulty: Moderate, TOT: 2 min., AACSB: None AICPA PC: Professional Behavior</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rPr>
        <w:t>13. B</w:t>
      </w:r>
    </w:p>
    <w:p w:rsidR="00996BE4" w:rsidRPr="00BC38C1" w:rsidRDefault="00480A2C" w:rsidP="00BC38C1">
      <w:pPr>
        <w:pStyle w:val="BodyA"/>
        <w:ind w:left="0"/>
        <w:rPr>
          <w:rFonts w:ascii="Open Sans" w:hAnsi="Open Sans"/>
          <w:sz w:val="14"/>
          <w:szCs w:val="14"/>
        </w:rPr>
      </w:pPr>
      <w:r w:rsidRPr="00BC38C1">
        <w:rPr>
          <w:rFonts w:ascii="Open Sans" w:hAnsi="Open Sans"/>
          <w:sz w:val="18"/>
          <w:szCs w:val="18"/>
        </w:rPr>
        <w:t>LO 9, BT: C, Difficulty: Moderate, TOT: 2 min., AACSB: None, AICPA PC: Professional Behavior</w:t>
      </w:r>
    </w:p>
    <w:p w:rsidR="00996BE4" w:rsidRPr="00BC38C1" w:rsidRDefault="00996BE4" w:rsidP="00BC38C1">
      <w:pPr>
        <w:pStyle w:val="BodyA"/>
        <w:ind w:left="0"/>
        <w:rPr>
          <w:rFonts w:ascii="Open Sans" w:hAnsi="Open Sans"/>
          <w:sz w:val="14"/>
          <w:szCs w:val="14"/>
        </w:rPr>
      </w:pPr>
    </w:p>
    <w:p w:rsidR="00996BE4" w:rsidRPr="00BC38C1" w:rsidRDefault="00480A2C" w:rsidP="00BC38C1">
      <w:pPr>
        <w:pStyle w:val="BodyA"/>
        <w:ind w:left="0"/>
        <w:rPr>
          <w:rFonts w:ascii="Open Sans" w:hAnsi="Open Sans"/>
        </w:rPr>
      </w:pPr>
      <w:r w:rsidRPr="00BC38C1">
        <w:rPr>
          <w:rFonts w:ascii="Open Sans" w:hAnsi="Open Sans"/>
        </w:rPr>
        <w:t>14. A</w:t>
      </w:r>
    </w:p>
    <w:p w:rsidR="00996BE4" w:rsidRPr="00BC38C1" w:rsidRDefault="00480A2C" w:rsidP="00BC38C1">
      <w:pPr>
        <w:pStyle w:val="BodyA"/>
        <w:ind w:left="0"/>
        <w:rPr>
          <w:rFonts w:ascii="Open Sans" w:hAnsi="Open Sans"/>
          <w:sz w:val="18"/>
          <w:szCs w:val="18"/>
        </w:rPr>
      </w:pPr>
      <w:r w:rsidRPr="00BC38C1">
        <w:rPr>
          <w:rFonts w:ascii="Open Sans" w:hAnsi="Open Sans"/>
          <w:sz w:val="18"/>
          <w:szCs w:val="18"/>
        </w:rPr>
        <w:t>LO 9, BT: C, Difficulty: Moderate, TOT: 2 min., AACSB: None, AICPA PC: Professional Behavior</w:t>
      </w:r>
    </w:p>
    <w:p w:rsidR="00480A2C" w:rsidRDefault="00480A2C">
      <w:pPr>
        <w:rPr>
          <w:rFonts w:ascii="Open Sans" w:hAnsi="Open Sans" w:cs="Arial Unicode MS"/>
          <w:b/>
          <w:bCs/>
          <w:color w:val="000000"/>
          <w:sz w:val="36"/>
          <w:szCs w:val="36"/>
          <w:u w:color="000000"/>
        </w:rPr>
      </w:pPr>
      <w:r>
        <w:rPr>
          <w:rFonts w:ascii="Open Sans" w:hAnsi="Open Sans"/>
        </w:rPr>
        <w:br w:type="page"/>
      </w:r>
    </w:p>
    <w:p w:rsidR="00996BE4" w:rsidRPr="00BC38C1" w:rsidRDefault="00480A2C" w:rsidP="00BC38C1">
      <w:pPr>
        <w:pStyle w:val="2Head"/>
        <w:ind w:left="0"/>
        <w:rPr>
          <w:rFonts w:ascii="Open Sans" w:hAnsi="Open Sans"/>
        </w:rPr>
      </w:pPr>
      <w:r w:rsidRPr="00BC38C1">
        <w:rPr>
          <w:rFonts w:ascii="Open Sans" w:hAnsi="Open Sans"/>
        </w:rPr>
        <w:lastRenderedPageBreak/>
        <w:t>ANSWERS TO REVIEW QUESTIONS</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b/>
          <w:bCs/>
        </w:rPr>
        <w:t>R2.1</w:t>
      </w:r>
      <w:r w:rsidRPr="00BC38C1">
        <w:rPr>
          <w:rFonts w:ascii="Open Sans" w:hAnsi="Open Sans"/>
        </w:rPr>
        <w:t xml:space="preserve"> </w:t>
      </w:r>
      <w:r w:rsidRPr="00BC38C1">
        <w:rPr>
          <w:rFonts w:ascii="Open Sans" w:hAnsi="Open Sans"/>
          <w:lang w:val="it-IT"/>
        </w:rPr>
        <w:t>An Auditor</w:t>
      </w:r>
      <w:r>
        <w:rPr>
          <w:rFonts w:ascii="Arial Unicode MS" w:hAnsi="Arial Unicode MS"/>
          <w:rtl/>
          <w:lang w:val="ar-SA"/>
        </w:rPr>
        <w:t>’</w:t>
      </w:r>
      <w:r w:rsidRPr="00BC38C1">
        <w:rPr>
          <w:rFonts w:ascii="Open Sans" w:hAnsi="Open Sans"/>
        </w:rPr>
        <w:t>s concern for the public interest comes from the practitioner</w:t>
      </w:r>
      <w:r>
        <w:rPr>
          <w:rFonts w:ascii="Arial Unicode MS" w:hAnsi="Arial Unicode MS"/>
          <w:rtl/>
          <w:lang w:val="ar-SA"/>
        </w:rPr>
        <w:t>’</w:t>
      </w:r>
      <w:r w:rsidRPr="00BC38C1">
        <w:rPr>
          <w:rFonts w:ascii="Open Sans" w:hAnsi="Open Sans"/>
        </w:rPr>
        <w:t>s work and the recognition by practitioners of an obligation to society.</w:t>
      </w:r>
      <w:r w:rsidR="00BC38C1">
        <w:rPr>
          <w:rFonts w:ascii="Open Sans" w:hAnsi="Open Sans"/>
        </w:rPr>
        <w:t xml:space="preserve"> </w:t>
      </w:r>
      <w:r w:rsidRPr="00BC38C1">
        <w:rPr>
          <w:rFonts w:ascii="Open Sans" w:hAnsi="Open Sans"/>
        </w:rPr>
        <w:t>Upon becoming licensed as a CPA, individuals also agree to accept the responsibility to follow professional standards (e.g., accounting and auditing standards), and a code of professional conduct (usually written into state rules or law).</w:t>
      </w:r>
      <w:r w:rsidR="00BC38C1">
        <w:rPr>
          <w:rFonts w:ascii="Open Sans" w:hAnsi="Open Sans"/>
        </w:rPr>
        <w:t xml:space="preserve"> </w:t>
      </w:r>
      <w:r w:rsidRPr="00BC38C1">
        <w:rPr>
          <w:rFonts w:ascii="Open Sans" w:hAnsi="Open Sans"/>
        </w:rPr>
        <w:t>It is also important for auditors to be independent of management when serving the public interest.</w:t>
      </w:r>
      <w:r w:rsidR="00BC38C1">
        <w:rPr>
          <w:rFonts w:ascii="Open Sans" w:hAnsi="Open Sans"/>
        </w:rPr>
        <w:t xml:space="preserve"> </w:t>
      </w:r>
      <w:r w:rsidRPr="00BC38C1">
        <w:rPr>
          <w:rFonts w:ascii="Open Sans" w:hAnsi="Open Sans"/>
        </w:rPr>
        <w:t>The public expects auditors to provide reasonable assurance that financial statements are free of material misstatement.</w:t>
      </w:r>
    </w:p>
    <w:p w:rsidR="00996BE4" w:rsidRPr="00BC38C1" w:rsidRDefault="00480A2C" w:rsidP="00BC38C1">
      <w:pPr>
        <w:pStyle w:val="BodyA"/>
        <w:ind w:left="0"/>
        <w:rPr>
          <w:rFonts w:ascii="Open Sans" w:hAnsi="Open Sans"/>
          <w:sz w:val="18"/>
          <w:szCs w:val="18"/>
        </w:rPr>
      </w:pPr>
      <w:r w:rsidRPr="00BC38C1">
        <w:rPr>
          <w:rFonts w:ascii="Open Sans" w:hAnsi="Open Sans"/>
          <w:sz w:val="18"/>
          <w:szCs w:val="18"/>
        </w:rPr>
        <w:t>LO 1, BT: C, Difficulty: Easy, TOT: 10 min., AACSB: Ethics</w:t>
      </w:r>
      <w:r w:rsidRPr="00BC38C1">
        <w:rPr>
          <w:rFonts w:ascii="Open Sans" w:hAnsi="Open Sans"/>
          <w:i/>
          <w:iCs/>
          <w:sz w:val="18"/>
          <w:szCs w:val="18"/>
        </w:rPr>
        <w:t>, AICPA PC: Ethics</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b/>
          <w:bCs/>
        </w:rPr>
        <w:t>R2.2</w:t>
      </w:r>
      <w:r w:rsidRPr="00BC38C1">
        <w:rPr>
          <w:rFonts w:ascii="Open Sans" w:hAnsi="Open Sans"/>
        </w:rPr>
        <w:t xml:space="preserve"> The question is answered in the table below:</w:t>
      </w:r>
    </w:p>
    <w:p w:rsidR="00996BE4" w:rsidRPr="00BC38C1" w:rsidRDefault="00996BE4" w:rsidP="00BC38C1">
      <w:pPr>
        <w:pStyle w:val="BodyA"/>
        <w:ind w:left="0"/>
        <w:rPr>
          <w:rFonts w:ascii="Open Sans" w:hAnsi="Open Sans"/>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
      <w:tblGrid>
        <w:gridCol w:w="2138"/>
        <w:gridCol w:w="3463"/>
        <w:gridCol w:w="3749"/>
      </w:tblGrid>
      <w:tr w:rsidR="00996BE4" w:rsidTr="00480A2C">
        <w:trPr>
          <w:trHeight w:val="307"/>
        </w:trPr>
        <w:tc>
          <w:tcPr>
            <w:tcW w:w="11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Default="00996BE4" w:rsidP="00BC38C1"/>
        </w:tc>
        <w:tc>
          <w:tcPr>
            <w:tcW w:w="18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jc w:val="center"/>
              <w:rPr>
                <w:rFonts w:ascii="Open Sans" w:hAnsi="Open Sans"/>
              </w:rPr>
            </w:pPr>
            <w:r w:rsidRPr="00BC38C1">
              <w:rPr>
                <w:rFonts w:ascii="Open Sans" w:hAnsi="Open Sans"/>
              </w:rPr>
              <w:t>Architecture</w:t>
            </w:r>
          </w:p>
        </w:tc>
        <w:tc>
          <w:tcPr>
            <w:tcW w:w="20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jc w:val="center"/>
              <w:rPr>
                <w:rFonts w:ascii="Open Sans" w:hAnsi="Open Sans"/>
              </w:rPr>
            </w:pPr>
            <w:r w:rsidRPr="00BC38C1">
              <w:rPr>
                <w:rFonts w:ascii="Open Sans" w:hAnsi="Open Sans"/>
              </w:rPr>
              <w:t>Public Accounting</w:t>
            </w:r>
          </w:p>
        </w:tc>
      </w:tr>
      <w:tr w:rsidR="00996BE4" w:rsidTr="00480A2C">
        <w:trPr>
          <w:trHeight w:val="907"/>
        </w:trPr>
        <w:tc>
          <w:tcPr>
            <w:tcW w:w="11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rPr>
                <w:rFonts w:ascii="Open Sans" w:hAnsi="Open Sans"/>
              </w:rPr>
            </w:pPr>
            <w:r w:rsidRPr="00BC38C1">
              <w:rPr>
                <w:rFonts w:ascii="Open Sans" w:hAnsi="Open Sans"/>
              </w:rPr>
              <w:t>Recognized by a specialized body of knowledge</w:t>
            </w:r>
          </w:p>
        </w:tc>
        <w:tc>
          <w:tcPr>
            <w:tcW w:w="18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rPr>
                <w:rFonts w:ascii="Open Sans" w:hAnsi="Open Sans"/>
              </w:rPr>
            </w:pPr>
            <w:r w:rsidRPr="00BC38C1">
              <w:rPr>
                <w:rFonts w:ascii="Open Sans" w:hAnsi="Open Sans"/>
              </w:rPr>
              <w:t>Knowledge of building codes and how to build structures</w:t>
            </w:r>
          </w:p>
        </w:tc>
        <w:tc>
          <w:tcPr>
            <w:tcW w:w="20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rPr>
                <w:rFonts w:ascii="Open Sans" w:hAnsi="Open Sans"/>
              </w:rPr>
            </w:pPr>
            <w:r w:rsidRPr="00BC38C1">
              <w:rPr>
                <w:rFonts w:ascii="Open Sans" w:hAnsi="Open Sans"/>
              </w:rPr>
              <w:t>Auditing or Tax knowledge</w:t>
            </w:r>
          </w:p>
        </w:tc>
      </w:tr>
      <w:tr w:rsidR="00996BE4" w:rsidTr="00480A2C">
        <w:trPr>
          <w:trHeight w:val="1507"/>
        </w:trPr>
        <w:tc>
          <w:tcPr>
            <w:tcW w:w="11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rPr>
              <w:t>A formal education process</w:t>
            </w:r>
          </w:p>
        </w:tc>
        <w:tc>
          <w:tcPr>
            <w:tcW w:w="18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rPr>
                <w:rFonts w:ascii="Open Sans" w:hAnsi="Open Sans"/>
              </w:rPr>
            </w:pPr>
            <w:r w:rsidRPr="00BC38C1">
              <w:rPr>
                <w:rFonts w:ascii="Open Sans" w:hAnsi="Open Sans"/>
              </w:rPr>
              <w:t>To become a licensed architect a candidate must graduate from an accredited architecture program (or its equivalent)</w:t>
            </w:r>
          </w:p>
        </w:tc>
        <w:tc>
          <w:tcPr>
            <w:tcW w:w="20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rPr>
                <w:rFonts w:ascii="Open Sans" w:hAnsi="Open Sans"/>
              </w:rPr>
            </w:pPr>
            <w:r w:rsidRPr="00BC38C1">
              <w:rPr>
                <w:rFonts w:ascii="Open Sans" w:hAnsi="Open Sans"/>
              </w:rPr>
              <w:t xml:space="preserve">To become a CPA a candidate must complete150 semester hours of education including requirements in accounting and business </w:t>
            </w:r>
          </w:p>
        </w:tc>
      </w:tr>
      <w:tr w:rsidR="00996BE4" w:rsidTr="00480A2C">
        <w:trPr>
          <w:trHeight w:val="1807"/>
        </w:trPr>
        <w:tc>
          <w:tcPr>
            <w:tcW w:w="11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rPr>
                <w:rFonts w:ascii="Open Sans" w:hAnsi="Open Sans"/>
              </w:rPr>
            </w:pPr>
            <w:r w:rsidRPr="00BC38C1">
              <w:rPr>
                <w:rFonts w:ascii="Open Sans" w:hAnsi="Open Sans"/>
              </w:rPr>
              <w:t>Standards governing admission to the profession</w:t>
            </w:r>
          </w:p>
        </w:tc>
        <w:tc>
          <w:tcPr>
            <w:tcW w:w="18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rPr>
                <w:rFonts w:ascii="Open Sans" w:hAnsi="Open Sans"/>
              </w:rPr>
            </w:pPr>
            <w:r w:rsidRPr="00BC38C1">
              <w:rPr>
                <w:rFonts w:ascii="Open Sans" w:hAnsi="Open Sans"/>
              </w:rPr>
              <w:t>To become a licensed architect, a candidate must complete an education requirement, pass a professional exam, and complete an experience requirement</w:t>
            </w:r>
          </w:p>
        </w:tc>
        <w:tc>
          <w:tcPr>
            <w:tcW w:w="20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rPr>
                <w:rFonts w:ascii="Open Sans" w:hAnsi="Open Sans"/>
              </w:rPr>
            </w:pPr>
            <w:r w:rsidRPr="00BC38C1">
              <w:rPr>
                <w:rFonts w:ascii="Open Sans" w:hAnsi="Open Sans"/>
              </w:rPr>
              <w:t>To become a licensed CPA a candidate must complete the state’s education requirement, pass the CPA exam, and complete an experience requirement</w:t>
            </w:r>
          </w:p>
        </w:tc>
      </w:tr>
      <w:tr w:rsidR="00996BE4" w:rsidTr="00480A2C">
        <w:trPr>
          <w:trHeight w:val="1507"/>
        </w:trPr>
        <w:tc>
          <w:tcPr>
            <w:tcW w:w="11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rPr>
                <w:rFonts w:ascii="Open Sans" w:hAnsi="Open Sans"/>
              </w:rPr>
            </w:pPr>
            <w:r w:rsidRPr="00BC38C1">
              <w:rPr>
                <w:rFonts w:ascii="Open Sans" w:hAnsi="Open Sans"/>
              </w:rPr>
              <w:t>Adherence to a code of ethics</w:t>
            </w:r>
          </w:p>
        </w:tc>
        <w:tc>
          <w:tcPr>
            <w:tcW w:w="18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rPr>
                <w:rFonts w:ascii="Open Sans" w:hAnsi="Open Sans"/>
              </w:rPr>
            </w:pPr>
            <w:r w:rsidRPr="00BC38C1">
              <w:rPr>
                <w:rFonts w:ascii="Open Sans" w:hAnsi="Open Sans"/>
              </w:rPr>
              <w:t>Architects must follow the Code of Ethics and Professional Conduct of the American Institute of Architects</w:t>
            </w:r>
          </w:p>
        </w:tc>
        <w:tc>
          <w:tcPr>
            <w:tcW w:w="20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rPr>
                <w:rFonts w:ascii="Open Sans" w:hAnsi="Open Sans"/>
              </w:rPr>
            </w:pPr>
            <w:r w:rsidRPr="00BC38C1">
              <w:rPr>
                <w:rFonts w:ascii="Open Sans" w:hAnsi="Open Sans"/>
              </w:rPr>
              <w:t>CPAs must follow the Code of Ethics of the state where they are licensed.</w:t>
            </w:r>
            <w:r w:rsidR="00BC38C1">
              <w:rPr>
                <w:rFonts w:ascii="Open Sans" w:hAnsi="Open Sans"/>
              </w:rPr>
              <w:t xml:space="preserve"> </w:t>
            </w:r>
            <w:r w:rsidRPr="00BC38C1">
              <w:rPr>
                <w:rFonts w:ascii="Open Sans" w:hAnsi="Open Sans"/>
              </w:rPr>
              <w:t xml:space="preserve">AICPA members must also follow the AICPA </w:t>
            </w:r>
            <w:r w:rsidRPr="00BC38C1">
              <w:rPr>
                <w:rFonts w:ascii="Open Sans" w:hAnsi="Open Sans"/>
                <w:i/>
                <w:iCs/>
              </w:rPr>
              <w:t>Code of Professional Conduct</w:t>
            </w:r>
            <w:r w:rsidRPr="00BC38C1">
              <w:rPr>
                <w:rFonts w:ascii="Open Sans" w:hAnsi="Open Sans"/>
              </w:rPr>
              <w:t>.</w:t>
            </w:r>
          </w:p>
        </w:tc>
      </w:tr>
      <w:tr w:rsidR="00996BE4" w:rsidTr="00480A2C">
        <w:trPr>
          <w:trHeight w:val="1207"/>
        </w:trPr>
        <w:tc>
          <w:tcPr>
            <w:tcW w:w="11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rPr>
                <w:rFonts w:ascii="Open Sans" w:hAnsi="Open Sans"/>
              </w:rPr>
            </w:pPr>
            <w:r w:rsidRPr="00BC38C1">
              <w:rPr>
                <w:rFonts w:ascii="Open Sans" w:hAnsi="Open Sans"/>
              </w:rPr>
              <w:t>Recognized status indicated by a license</w:t>
            </w:r>
          </w:p>
        </w:tc>
        <w:tc>
          <w:tcPr>
            <w:tcW w:w="18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rPr>
                <w:rFonts w:ascii="Open Sans" w:hAnsi="Open Sans"/>
              </w:rPr>
            </w:pPr>
            <w:r w:rsidRPr="00BC38C1">
              <w:rPr>
                <w:rFonts w:ascii="Open Sans" w:hAnsi="Open Sans"/>
              </w:rPr>
              <w:t>State governments (through state boards of architect examiner) grant a license to practice architecture</w:t>
            </w:r>
          </w:p>
        </w:tc>
        <w:tc>
          <w:tcPr>
            <w:tcW w:w="20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rPr>
                <w:rFonts w:ascii="Open Sans" w:hAnsi="Open Sans"/>
              </w:rPr>
            </w:pPr>
            <w:r w:rsidRPr="00BC38C1">
              <w:rPr>
                <w:rFonts w:ascii="Open Sans" w:hAnsi="Open Sans"/>
              </w:rPr>
              <w:t xml:space="preserve">State governments (through state boards of accountancy) grant a CPA license to practice public accounting </w:t>
            </w:r>
          </w:p>
        </w:tc>
      </w:tr>
      <w:tr w:rsidR="00996BE4" w:rsidTr="00480A2C">
        <w:trPr>
          <w:trHeight w:val="2397"/>
        </w:trPr>
        <w:tc>
          <w:tcPr>
            <w:tcW w:w="11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rPr>
                <w:rFonts w:ascii="Open Sans" w:hAnsi="Open Sans"/>
              </w:rPr>
            </w:pPr>
            <w:r w:rsidRPr="00BC38C1">
              <w:rPr>
                <w:rFonts w:ascii="Open Sans" w:hAnsi="Open Sans"/>
              </w:rPr>
              <w:lastRenderedPageBreak/>
              <w:t>A public interest in the work that practitioners perform</w:t>
            </w:r>
          </w:p>
        </w:tc>
        <w:tc>
          <w:tcPr>
            <w:tcW w:w="18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rPr>
                <w:rFonts w:ascii="Open Sans" w:hAnsi="Open Sans"/>
              </w:rPr>
            </w:pPr>
            <w:r w:rsidRPr="00BC38C1">
              <w:rPr>
                <w:rFonts w:ascii="Open Sans" w:hAnsi="Open Sans"/>
              </w:rPr>
              <w:t xml:space="preserve">The public interest in the work of architects relates to building safety </w:t>
            </w:r>
          </w:p>
        </w:tc>
        <w:tc>
          <w:tcPr>
            <w:tcW w:w="20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rPr>
                <w:rFonts w:ascii="Open Sans" w:hAnsi="Open Sans"/>
              </w:rPr>
            </w:pPr>
            <w:r w:rsidRPr="00BC38C1">
              <w:rPr>
                <w:rFonts w:ascii="Open Sans" w:hAnsi="Open Sans"/>
              </w:rPr>
              <w:t>The public interest in the auditor’s work related to the public’s reliance on the auditor’s opinion about the fair presentation of financial information.</w:t>
            </w:r>
            <w:r w:rsidR="00BC38C1">
              <w:rPr>
                <w:rFonts w:ascii="Open Sans" w:hAnsi="Open Sans"/>
              </w:rPr>
              <w:t xml:space="preserve"> </w:t>
            </w:r>
            <w:r w:rsidRPr="00BC38C1">
              <w:rPr>
                <w:rFonts w:ascii="Open Sans" w:hAnsi="Open Sans"/>
              </w:rPr>
              <w:t>Tax accountants have a duty to the public regarding compliance with tax laws.</w:t>
            </w:r>
          </w:p>
        </w:tc>
      </w:tr>
      <w:tr w:rsidR="00996BE4" w:rsidTr="00480A2C">
        <w:trPr>
          <w:trHeight w:val="1807"/>
        </w:trPr>
        <w:tc>
          <w:tcPr>
            <w:tcW w:w="11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rPr>
                <w:rFonts w:ascii="Open Sans" w:hAnsi="Open Sans"/>
              </w:rPr>
            </w:pPr>
            <w:r w:rsidRPr="00BC38C1">
              <w:rPr>
                <w:rFonts w:ascii="Open Sans" w:hAnsi="Open Sans"/>
              </w:rPr>
              <w:t>Recognition by practitioners of an obligation to society</w:t>
            </w:r>
          </w:p>
        </w:tc>
        <w:tc>
          <w:tcPr>
            <w:tcW w:w="18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rPr>
                <w:rFonts w:ascii="Open Sans" w:hAnsi="Open Sans"/>
              </w:rPr>
            </w:pPr>
            <w:r w:rsidRPr="00BC38C1">
              <w:rPr>
                <w:rFonts w:ascii="Open Sans" w:hAnsi="Open Sans"/>
              </w:rPr>
              <w:t>Architects recognize an obligation to follow building codes and at times put the public safety ahead of the wishes of their clients</w:t>
            </w:r>
          </w:p>
        </w:tc>
        <w:tc>
          <w:tcPr>
            <w:tcW w:w="20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rPr>
                <w:rFonts w:ascii="Open Sans" w:hAnsi="Open Sans"/>
              </w:rPr>
            </w:pPr>
            <w:r w:rsidRPr="00BC38C1">
              <w:rPr>
                <w:rFonts w:ascii="Open Sans" w:hAnsi="Open Sans"/>
              </w:rPr>
              <w:t>Accountants have an obligation to ensure that fair presentation in financial statements supersedes their obligation to their clients.</w:t>
            </w:r>
            <w:r w:rsidR="00BC38C1">
              <w:rPr>
                <w:rFonts w:ascii="Open Sans" w:hAnsi="Open Sans"/>
              </w:rPr>
              <w:t xml:space="preserve"> </w:t>
            </w:r>
            <w:r w:rsidRPr="00BC38C1">
              <w:rPr>
                <w:rFonts w:ascii="Open Sans" w:hAnsi="Open Sans"/>
              </w:rPr>
              <w:t>The same is true for compliance with tax laws.</w:t>
            </w:r>
            <w:r w:rsidR="00BC38C1">
              <w:rPr>
                <w:rFonts w:ascii="Open Sans" w:hAnsi="Open Sans"/>
              </w:rPr>
              <w:t xml:space="preserve"> </w:t>
            </w:r>
          </w:p>
        </w:tc>
      </w:tr>
    </w:tbl>
    <w:p w:rsidR="00996BE4" w:rsidRPr="00480A2C" w:rsidRDefault="00996BE4" w:rsidP="00480A2C">
      <w:pPr>
        <w:pStyle w:val="BodyA"/>
        <w:ind w:left="0"/>
        <w:rPr>
          <w:rFonts w:ascii="Open Sans" w:hAnsi="Open Sans"/>
          <w:b/>
          <w:bCs/>
        </w:rPr>
      </w:pPr>
    </w:p>
    <w:p w:rsidR="00BC38C1" w:rsidRDefault="00480A2C" w:rsidP="00BC38C1">
      <w:pPr>
        <w:pStyle w:val="BodyA"/>
        <w:ind w:left="0"/>
        <w:rPr>
          <w:rFonts w:ascii="Open Sans" w:hAnsi="Open Sans"/>
          <w:i/>
          <w:iCs/>
          <w:sz w:val="18"/>
          <w:szCs w:val="18"/>
        </w:rPr>
      </w:pPr>
      <w:r w:rsidRPr="00BC38C1">
        <w:rPr>
          <w:rFonts w:ascii="Open Sans" w:hAnsi="Open Sans"/>
          <w:sz w:val="18"/>
          <w:szCs w:val="18"/>
        </w:rPr>
        <w:t>LO 1, BT: S, Difficulty: Challenging, TOT: 20 min., AACSB: Ethics, AICPA PC: Ethics</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b/>
          <w:bCs/>
        </w:rPr>
        <w:t>R2.3</w:t>
      </w:r>
      <w:r w:rsidRPr="00BC38C1">
        <w:rPr>
          <w:rFonts w:ascii="Open Sans" w:hAnsi="Open Sans"/>
        </w:rPr>
        <w:t xml:space="preserve"> The AICPA</w:t>
      </w:r>
      <w:r>
        <w:rPr>
          <w:rFonts w:ascii="Arial Unicode MS" w:hAnsi="Arial Unicode MS"/>
          <w:rtl/>
          <w:lang w:val="ar-SA"/>
        </w:rPr>
        <w:t>’</w:t>
      </w:r>
      <w:r w:rsidRPr="00BC38C1">
        <w:rPr>
          <w:rFonts w:ascii="Open Sans" w:hAnsi="Open Sans"/>
        </w:rPr>
        <w:t xml:space="preserve">s </w:t>
      </w:r>
      <w:r w:rsidRPr="00BC38C1">
        <w:rPr>
          <w:rFonts w:ascii="Open Sans" w:hAnsi="Open Sans"/>
          <w:i/>
          <w:iCs/>
        </w:rPr>
        <w:t>Code of Professional Conduct</w:t>
      </w:r>
      <w:r w:rsidRPr="00BC38C1">
        <w:rPr>
          <w:rFonts w:ascii="Open Sans" w:hAnsi="Open Sans"/>
        </w:rPr>
        <w:t xml:space="preserve"> (the Code) provides guidance to all members of the AICPA with respect to performance of their responsibilities.</w:t>
      </w:r>
      <w:r w:rsidR="00BC38C1">
        <w:rPr>
          <w:rFonts w:ascii="Open Sans" w:hAnsi="Open Sans"/>
        </w:rPr>
        <w:t xml:space="preserve"> </w:t>
      </w:r>
      <w:r w:rsidRPr="00BC38C1">
        <w:rPr>
          <w:rFonts w:ascii="Open Sans" w:hAnsi="Open Sans"/>
        </w:rPr>
        <w:t>The Code consists of principles, rules, interpretations, and other guidance for AICPA members.</w:t>
      </w:r>
    </w:p>
    <w:p w:rsidR="00996BE4" w:rsidRPr="00BC38C1" w:rsidRDefault="00996BE4" w:rsidP="00BC38C1">
      <w:pPr>
        <w:pStyle w:val="BodyA"/>
        <w:ind w:left="0"/>
        <w:rPr>
          <w:rFonts w:ascii="Open Sans" w:hAnsi="Open Sans"/>
        </w:rPr>
      </w:pPr>
    </w:p>
    <w:p w:rsidR="00996BE4" w:rsidRDefault="00480A2C" w:rsidP="00480A2C">
      <w:pPr>
        <w:pStyle w:val="BodyA"/>
        <w:tabs>
          <w:tab w:val="clear" w:pos="540"/>
        </w:tabs>
        <w:ind w:left="0"/>
        <w:rPr>
          <w:rFonts w:ascii="Open Sans" w:hAnsi="Open Sans"/>
        </w:rPr>
      </w:pPr>
      <w:r w:rsidRPr="00BC38C1">
        <w:rPr>
          <w:rFonts w:ascii="Open Sans" w:hAnsi="Open Sans"/>
        </w:rPr>
        <w:t>Part 1 of the Code includes rules for members in public practice (usually CPA</w:t>
      </w:r>
      <w:r>
        <w:rPr>
          <w:rFonts w:ascii="Arial Unicode MS" w:hAnsi="Arial Unicode MS"/>
          <w:rtl/>
          <w:lang w:val="ar-SA"/>
        </w:rPr>
        <w:t>’</w:t>
      </w:r>
      <w:r w:rsidRPr="00BC38C1">
        <w:rPr>
          <w:rFonts w:ascii="Open Sans" w:hAnsi="Open Sans"/>
        </w:rPr>
        <w:t>s) in CPA firms,</w:t>
      </w:r>
    </w:p>
    <w:p w:rsidR="00480A2C" w:rsidRPr="00BC38C1" w:rsidRDefault="00480A2C" w:rsidP="00480A2C">
      <w:pPr>
        <w:pStyle w:val="BodyA"/>
        <w:tabs>
          <w:tab w:val="clear" w:pos="540"/>
        </w:tabs>
        <w:ind w:left="0"/>
        <w:rPr>
          <w:rFonts w:ascii="Open Sans" w:hAnsi="Open Sans"/>
        </w:rPr>
      </w:pPr>
    </w:p>
    <w:p w:rsidR="00480A2C" w:rsidRDefault="00480A2C" w:rsidP="00480A2C">
      <w:pPr>
        <w:pStyle w:val="BodyA"/>
        <w:tabs>
          <w:tab w:val="clear" w:pos="540"/>
        </w:tabs>
        <w:ind w:left="0"/>
        <w:rPr>
          <w:rFonts w:ascii="Open Sans" w:hAnsi="Open Sans"/>
        </w:rPr>
      </w:pPr>
      <w:r w:rsidRPr="00BC38C1">
        <w:rPr>
          <w:rFonts w:ascii="Open Sans" w:hAnsi="Open Sans"/>
        </w:rPr>
        <w:t>Part II of the Code includes ethical rules for members in business (such as a CFO, a controller, or an accountant working in industry or government), and</w:t>
      </w:r>
    </w:p>
    <w:p w:rsidR="00996BE4" w:rsidRPr="00BC38C1" w:rsidRDefault="00996BE4" w:rsidP="00480A2C">
      <w:pPr>
        <w:pStyle w:val="BodyA"/>
        <w:tabs>
          <w:tab w:val="clear" w:pos="540"/>
        </w:tabs>
        <w:ind w:left="0"/>
        <w:rPr>
          <w:rFonts w:ascii="Open Sans" w:hAnsi="Open Sans"/>
        </w:rPr>
      </w:pPr>
    </w:p>
    <w:p w:rsidR="00996BE4" w:rsidRPr="00BC38C1" w:rsidRDefault="00480A2C" w:rsidP="00480A2C">
      <w:pPr>
        <w:pStyle w:val="BodyA"/>
        <w:ind w:left="180" w:hanging="180"/>
        <w:rPr>
          <w:rFonts w:ascii="Open Sans" w:hAnsi="Open Sans"/>
        </w:rPr>
      </w:pPr>
      <w:r w:rsidRPr="00BC38C1">
        <w:rPr>
          <w:rFonts w:ascii="Open Sans" w:hAnsi="Open Sans"/>
        </w:rPr>
        <w:t>Part III includes ethical rules for other members (e.g., non-CPA members of the AICPA).</w:t>
      </w:r>
    </w:p>
    <w:p w:rsidR="00996BE4" w:rsidRPr="00BC38C1" w:rsidRDefault="00480A2C" w:rsidP="00BC38C1">
      <w:pPr>
        <w:pStyle w:val="BodyA"/>
        <w:ind w:left="0"/>
        <w:rPr>
          <w:rFonts w:ascii="Open Sans" w:hAnsi="Open Sans"/>
          <w:sz w:val="14"/>
          <w:szCs w:val="14"/>
        </w:rPr>
      </w:pPr>
      <w:r w:rsidRPr="00BC38C1">
        <w:rPr>
          <w:rFonts w:ascii="Open Sans" w:hAnsi="Open Sans"/>
          <w:sz w:val="18"/>
          <w:szCs w:val="18"/>
        </w:rPr>
        <w:t>LO 2, BT: C, Difficulty: Easy, TOT: 5 min., AACSB: Ethics, AICPA PC: Ethics</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b/>
          <w:bCs/>
        </w:rPr>
        <w:t>R2.4</w:t>
      </w:r>
      <w:r w:rsidRPr="00BC38C1">
        <w:rPr>
          <w:rFonts w:ascii="Open Sans" w:hAnsi="Open Sans"/>
        </w:rPr>
        <w:t xml:space="preserve"> In this instance, the CPA</w:t>
      </w:r>
      <w:r>
        <w:rPr>
          <w:rFonts w:ascii="Arial Unicode MS" w:hAnsi="Arial Unicode MS"/>
          <w:rtl/>
          <w:lang w:val="ar-SA"/>
        </w:rPr>
        <w:t>’</w:t>
      </w:r>
      <w:r w:rsidRPr="00BC38C1">
        <w:rPr>
          <w:rFonts w:ascii="Open Sans" w:hAnsi="Open Sans"/>
        </w:rPr>
        <w:t>s best friend is the CFO of a new audit client.</w:t>
      </w:r>
      <w:r w:rsidR="00BC38C1">
        <w:rPr>
          <w:rFonts w:ascii="Open Sans" w:hAnsi="Open Sans"/>
        </w:rPr>
        <w:t xml:space="preserve"> </w:t>
      </w:r>
      <w:r w:rsidRPr="00BC38C1">
        <w:rPr>
          <w:rFonts w:ascii="Open Sans" w:hAnsi="Open Sans"/>
        </w:rPr>
        <w:t>This causes two significant threats. First, a familiarity threat may exist due to a long relationship (the CPA</w:t>
      </w:r>
      <w:r>
        <w:rPr>
          <w:rFonts w:ascii="Arial Unicode MS" w:hAnsi="Arial Unicode MS"/>
          <w:rtl/>
          <w:lang w:val="ar-SA"/>
        </w:rPr>
        <w:t>’</w:t>
      </w:r>
      <w:r w:rsidRPr="00BC38C1">
        <w:rPr>
          <w:rFonts w:ascii="Open Sans" w:hAnsi="Open Sans"/>
        </w:rPr>
        <w:t>s best friend from college).</w:t>
      </w:r>
      <w:r w:rsidR="00BC38C1">
        <w:rPr>
          <w:rFonts w:ascii="Open Sans" w:hAnsi="Open Sans"/>
        </w:rPr>
        <w:t xml:space="preserve"> </w:t>
      </w:r>
      <w:r w:rsidRPr="00BC38C1">
        <w:rPr>
          <w:rFonts w:ascii="Open Sans" w:hAnsi="Open Sans"/>
        </w:rPr>
        <w:t>A CPA may become too sympathetic to the client</w:t>
      </w:r>
      <w:r>
        <w:rPr>
          <w:rFonts w:ascii="Arial Unicode MS" w:hAnsi="Arial Unicode MS"/>
          <w:rtl/>
          <w:lang w:val="ar-SA"/>
        </w:rPr>
        <w:t>’</w:t>
      </w:r>
      <w:r w:rsidRPr="00BC38C1">
        <w:rPr>
          <w:rFonts w:ascii="Open Sans" w:hAnsi="Open Sans"/>
        </w:rPr>
        <w:t>s interests or too accepting of the client</w:t>
      </w:r>
      <w:r>
        <w:rPr>
          <w:rFonts w:ascii="Arial Unicode MS" w:hAnsi="Arial Unicode MS"/>
          <w:rtl/>
          <w:lang w:val="ar-SA"/>
        </w:rPr>
        <w:t>’</w:t>
      </w:r>
      <w:r w:rsidRPr="00BC38C1">
        <w:rPr>
          <w:rFonts w:ascii="Open Sans" w:hAnsi="Open Sans"/>
        </w:rPr>
        <w:t>s work or product.</w:t>
      </w:r>
      <w:r w:rsidR="00BC38C1">
        <w:rPr>
          <w:rFonts w:ascii="Open Sans" w:hAnsi="Open Sans"/>
        </w:rPr>
        <w:t xml:space="preserve"> </w:t>
      </w:r>
      <w:r w:rsidRPr="00BC38C1">
        <w:rPr>
          <w:rFonts w:ascii="Open Sans" w:hAnsi="Open Sans"/>
        </w:rPr>
        <w:t>Second, a possible advocacy threat may exist due to the fact that the CPA may promote the client</w:t>
      </w:r>
      <w:r>
        <w:rPr>
          <w:rFonts w:ascii="Arial Unicode MS" w:hAnsi="Arial Unicode MS"/>
          <w:rtl/>
          <w:lang w:val="ar-SA"/>
        </w:rPr>
        <w:t>’</w:t>
      </w:r>
      <w:r w:rsidRPr="00BC38C1">
        <w:rPr>
          <w:rFonts w:ascii="Open Sans" w:hAnsi="Open Sans"/>
        </w:rPr>
        <w:t>s position to the point that his or her objectivity or independence is compromised.</w:t>
      </w:r>
    </w:p>
    <w:p w:rsidR="00996BE4" w:rsidRPr="00BC38C1" w:rsidRDefault="00996BE4" w:rsidP="00BC38C1">
      <w:pPr>
        <w:pStyle w:val="BodyA"/>
        <w:ind w:left="0"/>
        <w:rPr>
          <w:rFonts w:ascii="Open Sans" w:hAnsi="Open Sans"/>
        </w:rPr>
      </w:pPr>
    </w:p>
    <w:p w:rsidR="00BC38C1" w:rsidRDefault="00480A2C" w:rsidP="00BC38C1">
      <w:pPr>
        <w:pStyle w:val="BodyA"/>
        <w:ind w:left="0"/>
        <w:rPr>
          <w:rFonts w:ascii="Open Sans" w:hAnsi="Open Sans"/>
        </w:rPr>
      </w:pPr>
      <w:r w:rsidRPr="00BC38C1">
        <w:rPr>
          <w:rFonts w:ascii="Open Sans" w:hAnsi="Open Sans"/>
        </w:rPr>
        <w:t>The threats are significant and a safeguard exists if the CPA is not a partner in the office where the professional engagement takes place or in a position to influence the outcome of the engagement.</w:t>
      </w:r>
    </w:p>
    <w:p w:rsidR="00996BE4" w:rsidRPr="00BC38C1" w:rsidRDefault="00996BE4" w:rsidP="00BC38C1">
      <w:pPr>
        <w:pStyle w:val="BodyA"/>
        <w:ind w:left="0"/>
        <w:rPr>
          <w:rFonts w:ascii="Open Sans" w:hAnsi="Open Sans"/>
        </w:rPr>
      </w:pPr>
    </w:p>
    <w:p w:rsidR="00BC38C1" w:rsidRDefault="00480A2C" w:rsidP="00BC38C1">
      <w:pPr>
        <w:pStyle w:val="BodyA"/>
        <w:ind w:left="0"/>
        <w:rPr>
          <w:rFonts w:ascii="Open Sans" w:hAnsi="Open Sans"/>
        </w:rPr>
      </w:pPr>
      <w:r w:rsidRPr="00BC38C1">
        <w:rPr>
          <w:rFonts w:ascii="Open Sans" w:hAnsi="Open Sans"/>
        </w:rPr>
        <w:lastRenderedPageBreak/>
        <w:t>The safeguard would be for the CPA not to be involved in the prospective client</w:t>
      </w:r>
      <w:r>
        <w:rPr>
          <w:rFonts w:ascii="Arial Unicode MS" w:hAnsi="Arial Unicode MS"/>
          <w:rtl/>
          <w:lang w:val="ar-SA"/>
        </w:rPr>
        <w:t>’</w:t>
      </w:r>
      <w:r w:rsidRPr="00BC38C1">
        <w:rPr>
          <w:rFonts w:ascii="Open Sans" w:hAnsi="Open Sans"/>
        </w:rPr>
        <w:t>s audit engagement or if the non-partner CPA is involved, the work of the CPA must be reviewed by a partner in the CPA firm.</w:t>
      </w:r>
      <w:r w:rsidR="00BC38C1">
        <w:rPr>
          <w:rFonts w:ascii="Open Sans" w:hAnsi="Open Sans"/>
        </w:rPr>
        <w:t xml:space="preserve"> </w:t>
      </w:r>
      <w:r w:rsidRPr="00BC38C1">
        <w:rPr>
          <w:rFonts w:ascii="Open Sans" w:hAnsi="Open Sans"/>
        </w:rPr>
        <w:t>This could reduce the threat to an acceptable level.</w:t>
      </w:r>
    </w:p>
    <w:p w:rsidR="00996BE4" w:rsidRPr="00BC38C1" w:rsidRDefault="00480A2C" w:rsidP="00BC38C1">
      <w:pPr>
        <w:pStyle w:val="BodyA"/>
        <w:ind w:left="0"/>
        <w:rPr>
          <w:rFonts w:ascii="Open Sans" w:hAnsi="Open Sans"/>
          <w:sz w:val="18"/>
          <w:szCs w:val="18"/>
        </w:rPr>
      </w:pPr>
      <w:r w:rsidRPr="00BC38C1">
        <w:rPr>
          <w:rFonts w:ascii="Open Sans" w:hAnsi="Open Sans"/>
          <w:sz w:val="18"/>
          <w:szCs w:val="18"/>
        </w:rPr>
        <w:t xml:space="preserve">LO 2, 3, BT: E, Difficulty: Moderate, TOT: 15 min., AACSB: Ethics, </w:t>
      </w:r>
      <w:r w:rsidRPr="00BC38C1">
        <w:rPr>
          <w:rFonts w:ascii="Open Sans" w:hAnsi="Open Sans"/>
          <w:i/>
          <w:iCs/>
          <w:sz w:val="18"/>
          <w:szCs w:val="18"/>
        </w:rPr>
        <w:t>AICPA PC: Ethics, Decision Making</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b/>
          <w:bCs/>
        </w:rPr>
        <w:t>R2.5</w:t>
      </w:r>
      <w:r w:rsidRPr="00BC38C1">
        <w:rPr>
          <w:rFonts w:ascii="Open Sans" w:hAnsi="Open Sans"/>
        </w:rPr>
        <w:t xml:space="preserve"> A self-interest threat exists because the new client</w:t>
      </w:r>
      <w:r>
        <w:rPr>
          <w:rFonts w:ascii="Arial Unicode MS" w:hAnsi="Arial Unicode MS"/>
          <w:rtl/>
          <w:lang w:val="ar-SA"/>
        </w:rPr>
        <w:t>’</w:t>
      </w:r>
      <w:r w:rsidRPr="00BC38C1">
        <w:rPr>
          <w:rFonts w:ascii="Open Sans" w:hAnsi="Open Sans"/>
        </w:rPr>
        <w:t>s audit fees will represent 25% of the audit firms</w:t>
      </w:r>
      <w:r>
        <w:rPr>
          <w:rFonts w:ascii="Arial Unicode MS" w:hAnsi="Arial Unicode MS"/>
          <w:rtl/>
          <w:lang w:val="ar-SA"/>
        </w:rPr>
        <w:t xml:space="preserve">’ </w:t>
      </w:r>
      <w:r w:rsidRPr="00BC38C1">
        <w:rPr>
          <w:rFonts w:ascii="Open Sans" w:hAnsi="Open Sans"/>
        </w:rPr>
        <w:t>revenues.</w:t>
      </w:r>
      <w:r w:rsidR="00BC38C1">
        <w:rPr>
          <w:rFonts w:ascii="Open Sans" w:hAnsi="Open Sans"/>
        </w:rPr>
        <w:t xml:space="preserve"> </w:t>
      </w:r>
      <w:r w:rsidRPr="00BC38C1">
        <w:rPr>
          <w:rFonts w:ascii="Open Sans" w:hAnsi="Open Sans"/>
        </w:rPr>
        <w:t>In this case the threat exists from the large portion of the firm</w:t>
      </w:r>
      <w:r>
        <w:rPr>
          <w:rFonts w:ascii="Arial Unicode MS" w:hAnsi="Arial Unicode MS"/>
          <w:rtl/>
          <w:lang w:val="ar-SA"/>
        </w:rPr>
        <w:t>’</w:t>
      </w:r>
      <w:r w:rsidRPr="00BC38C1">
        <w:rPr>
          <w:rFonts w:ascii="Open Sans" w:hAnsi="Open Sans"/>
        </w:rPr>
        <w:t>s revenues to be derived from the audit of the prospective client.</w:t>
      </w:r>
      <w:r w:rsidR="00BC38C1">
        <w:rPr>
          <w:rFonts w:ascii="Open Sans" w:hAnsi="Open Sans"/>
        </w:rPr>
        <w:t xml:space="preserve"> </w:t>
      </w:r>
      <w:r w:rsidRPr="00BC38C1">
        <w:rPr>
          <w:rFonts w:ascii="Open Sans" w:hAnsi="Open Sans"/>
        </w:rPr>
        <w:t>The reliance on such a large portion of the firm</w:t>
      </w:r>
      <w:r>
        <w:rPr>
          <w:rFonts w:ascii="Arial Unicode MS" w:hAnsi="Arial Unicode MS"/>
          <w:rtl/>
          <w:lang w:val="ar-SA"/>
        </w:rPr>
        <w:t>’</w:t>
      </w:r>
      <w:r w:rsidRPr="00BC38C1">
        <w:rPr>
          <w:rFonts w:ascii="Open Sans" w:hAnsi="Open Sans"/>
        </w:rPr>
        <w:t>s revenues may cause undue pressure from the prospective client regarding their audit (or loss of the client</w:t>
      </w:r>
      <w:r>
        <w:rPr>
          <w:rFonts w:ascii="Arial Unicode MS" w:hAnsi="Arial Unicode MS"/>
          <w:rtl/>
          <w:lang w:val="ar-SA"/>
        </w:rPr>
        <w:t>’</w:t>
      </w:r>
      <w:r w:rsidRPr="00BC38C1">
        <w:rPr>
          <w:rFonts w:ascii="Open Sans" w:hAnsi="Open Sans"/>
          <w:lang w:val="pt-PT"/>
        </w:rPr>
        <w:t>s audit).</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rPr>
        <w:t>The self-interest threat is significant, but likely can be safeguarded. The tone at the top of the firm needs to emphasis integrity and objectivity in the audit work, and not subordinating judgment to that of the client.</w:t>
      </w:r>
      <w:r w:rsidR="00BC38C1">
        <w:rPr>
          <w:rFonts w:ascii="Open Sans" w:hAnsi="Open Sans"/>
        </w:rPr>
        <w:t xml:space="preserve"> </w:t>
      </w:r>
      <w:r w:rsidRPr="00BC38C1">
        <w:rPr>
          <w:rFonts w:ascii="Open Sans" w:hAnsi="Open Sans"/>
        </w:rPr>
        <w:t>The audit engagement should be reviewed by a second partner not associated with the engagement prior to issuing the audit report.</w:t>
      </w:r>
      <w:r w:rsidR="00BC38C1">
        <w:rPr>
          <w:rFonts w:ascii="Open Sans" w:hAnsi="Open Sans"/>
        </w:rPr>
        <w:t xml:space="preserve"> </w:t>
      </w:r>
      <w:r w:rsidRPr="00BC38C1">
        <w:rPr>
          <w:rFonts w:ascii="Open Sans" w:hAnsi="Open Sans"/>
        </w:rPr>
        <w:t>If the CPA is a sole practitioner, the CPA should have the work reviewed by another firm prior to issuing an opinion.</w:t>
      </w:r>
    </w:p>
    <w:p w:rsidR="00996BE4" w:rsidRPr="00BC38C1" w:rsidRDefault="00480A2C" w:rsidP="00BC38C1">
      <w:pPr>
        <w:pStyle w:val="BodyA"/>
        <w:ind w:left="0"/>
        <w:rPr>
          <w:rFonts w:ascii="Open Sans" w:hAnsi="Open Sans"/>
          <w:sz w:val="14"/>
          <w:szCs w:val="14"/>
        </w:rPr>
      </w:pPr>
      <w:r w:rsidRPr="00BC38C1">
        <w:rPr>
          <w:rFonts w:ascii="Open Sans" w:hAnsi="Open Sans"/>
          <w:sz w:val="18"/>
          <w:szCs w:val="18"/>
        </w:rPr>
        <w:t>LO 2, 3, BT: C, Difficulty: Moderate, TOT: 10 min., AACSB: Ethics, AICPA PC: Ethics, Decision Making</w:t>
      </w:r>
    </w:p>
    <w:p w:rsidR="00996BE4" w:rsidRPr="00BC38C1" w:rsidRDefault="00996BE4" w:rsidP="00BC38C1">
      <w:pPr>
        <w:pStyle w:val="BodyA"/>
        <w:ind w:left="0"/>
        <w:rPr>
          <w:rFonts w:ascii="Open Sans" w:hAnsi="Open Sans"/>
          <w:i/>
          <w:iCs/>
        </w:rPr>
      </w:pPr>
    </w:p>
    <w:p w:rsidR="00BC38C1" w:rsidRPr="00480A2C" w:rsidRDefault="00480A2C" w:rsidP="00BC38C1">
      <w:pPr>
        <w:pStyle w:val="BodyA"/>
        <w:ind w:left="0"/>
        <w:rPr>
          <w:rFonts w:ascii="Open Sans" w:hAnsi="Open Sans"/>
          <w:spacing w:val="-4"/>
          <w:kern w:val="22"/>
        </w:rPr>
      </w:pPr>
      <w:r w:rsidRPr="00480A2C">
        <w:rPr>
          <w:rFonts w:ascii="Open Sans" w:hAnsi="Open Sans"/>
          <w:b/>
          <w:bCs/>
          <w:spacing w:val="-4"/>
          <w:kern w:val="22"/>
        </w:rPr>
        <w:t>R2.6</w:t>
      </w:r>
      <w:r w:rsidRPr="00480A2C">
        <w:rPr>
          <w:rFonts w:ascii="Open Sans" w:hAnsi="Open Sans"/>
          <w:spacing w:val="-4"/>
          <w:kern w:val="22"/>
        </w:rPr>
        <w:t xml:space="preserve"> The integrity and objectivity rule involves the performance of any professional service, wherein a member shall maintain objectivity and integrity; shall be free of conflicts of interest and shall not knowingly misrepresent facts or subordinate his or her judgment to others.</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rPr>
        <w:t>A CPA should not have a conflict of interest if a CPA or CPA firm provides professional service related to a particular matter involving two or more clients whose interests, with respect to that matter, are in conflict.</w:t>
      </w:r>
      <w:r w:rsidR="00BC38C1">
        <w:rPr>
          <w:rFonts w:ascii="Open Sans" w:hAnsi="Open Sans"/>
        </w:rPr>
        <w:t xml:space="preserve"> </w:t>
      </w:r>
      <w:r w:rsidRPr="00BC38C1">
        <w:rPr>
          <w:rFonts w:ascii="Open Sans" w:hAnsi="Open Sans"/>
        </w:rPr>
        <w:t>This could be two clients (e.g., husband and wife) at the same time, who are in a legal dispute (e.g., divorce) with each other.</w:t>
      </w:r>
      <w:r w:rsidR="00BC38C1">
        <w:rPr>
          <w:rFonts w:ascii="Open Sans" w:hAnsi="Open Sans"/>
        </w:rPr>
        <w:t xml:space="preserve"> </w:t>
      </w:r>
      <w:r w:rsidRPr="00BC38C1">
        <w:rPr>
          <w:rFonts w:ascii="Open Sans" w:hAnsi="Open Sans"/>
        </w:rPr>
        <w:t>A safeguard may be to use separate engagement teams who are provided clear policies and procedures on maintaining confidentiality,</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rPr>
        <w:t>Further, a CPA should not knowingly misrepresent material facts, such as knowingly overstating earnings, as this could cause a material misstatement in the company</w:t>
      </w:r>
      <w:r>
        <w:rPr>
          <w:rFonts w:ascii="Arial Unicode MS" w:hAnsi="Arial Unicode MS"/>
          <w:rtl/>
          <w:lang w:val="ar-SA"/>
        </w:rPr>
        <w:t>’</w:t>
      </w:r>
      <w:r w:rsidRPr="00BC38C1">
        <w:rPr>
          <w:rFonts w:ascii="Open Sans" w:hAnsi="Open Sans"/>
        </w:rPr>
        <w:t>s financial statement.</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rPr>
        <w:t>A CPA should not give an unqualified or an unmodified opinion on financial statements that the CPA believes have a material misstatement.</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rPr>
        <w:t>A CPA in public practice should not subordinate his or her judgment to the judgment of others in the firm, such as going along with the opinion of another member of the audit team without doing independent research on a matter that is the CPA</w:t>
      </w:r>
      <w:r>
        <w:rPr>
          <w:rFonts w:ascii="Arial Unicode MS" w:hAnsi="Arial Unicode MS"/>
          <w:rtl/>
          <w:lang w:val="ar-SA"/>
        </w:rPr>
        <w:t>’</w:t>
      </w:r>
      <w:r w:rsidRPr="00BC38C1">
        <w:rPr>
          <w:rFonts w:ascii="Open Sans" w:hAnsi="Open Sans"/>
        </w:rPr>
        <w:t>s responsibility.</w:t>
      </w:r>
      <w:r w:rsidR="00BC38C1">
        <w:rPr>
          <w:rFonts w:ascii="Open Sans" w:hAnsi="Open Sans"/>
        </w:rPr>
        <w:t xml:space="preserve"> </w:t>
      </w:r>
      <w:r w:rsidRPr="00BC38C1">
        <w:rPr>
          <w:rFonts w:ascii="Open Sans" w:hAnsi="Open Sans"/>
        </w:rPr>
        <w:t>A CPA in public practice should research the issue and present an alternative position if the CPA believes their firm is reaching the wrong decision.</w:t>
      </w:r>
    </w:p>
    <w:p w:rsidR="00996BE4" w:rsidRPr="00BC38C1" w:rsidRDefault="00480A2C" w:rsidP="00BC38C1">
      <w:pPr>
        <w:pStyle w:val="BodyA"/>
        <w:ind w:left="0"/>
        <w:rPr>
          <w:rFonts w:ascii="Open Sans" w:hAnsi="Open Sans"/>
          <w:sz w:val="14"/>
          <w:szCs w:val="14"/>
        </w:rPr>
      </w:pPr>
      <w:r w:rsidRPr="00BC38C1">
        <w:rPr>
          <w:rFonts w:ascii="Open Sans" w:hAnsi="Open Sans"/>
          <w:sz w:val="18"/>
          <w:szCs w:val="18"/>
          <w:lang w:val="es-ES_tradnl"/>
        </w:rPr>
        <w:t>LO 4,</w:t>
      </w:r>
      <w:r w:rsidRPr="00BC38C1">
        <w:rPr>
          <w:rFonts w:ascii="Open Sans" w:hAnsi="Open Sans"/>
          <w:i/>
          <w:iCs/>
          <w:sz w:val="18"/>
          <w:szCs w:val="18"/>
        </w:rPr>
        <w:t xml:space="preserve"> </w:t>
      </w:r>
      <w:r w:rsidRPr="00BC38C1">
        <w:rPr>
          <w:rFonts w:ascii="Open Sans" w:hAnsi="Open Sans"/>
          <w:sz w:val="18"/>
          <w:szCs w:val="18"/>
        </w:rPr>
        <w:t>BT: C, Difficulty: Easy, TOT: 10 min., AACSB: Ethics, AICPA PC: Ethics</w:t>
      </w:r>
    </w:p>
    <w:p w:rsidR="00BC38C1" w:rsidRDefault="00480A2C" w:rsidP="00BC38C1">
      <w:pPr>
        <w:pStyle w:val="BodyA"/>
        <w:ind w:left="0"/>
        <w:rPr>
          <w:rFonts w:ascii="Open Sans" w:hAnsi="Open Sans"/>
        </w:rPr>
      </w:pPr>
      <w:r w:rsidRPr="00BC38C1">
        <w:rPr>
          <w:rFonts w:ascii="Open Sans" w:hAnsi="Open Sans"/>
          <w:b/>
          <w:bCs/>
        </w:rPr>
        <w:lastRenderedPageBreak/>
        <w:t>R2.7</w:t>
      </w:r>
      <w:r w:rsidRPr="00BC38C1">
        <w:rPr>
          <w:rFonts w:ascii="Open Sans" w:hAnsi="Open Sans"/>
        </w:rPr>
        <w:t xml:space="preserve"> Yes, it is appropriate as a CPA firm must manage the appearance of independence.</w:t>
      </w:r>
      <w:r w:rsidR="00BC38C1">
        <w:rPr>
          <w:rFonts w:ascii="Open Sans" w:hAnsi="Open Sans"/>
        </w:rPr>
        <w:t xml:space="preserve"> </w:t>
      </w:r>
      <w:r w:rsidRPr="00BC38C1">
        <w:rPr>
          <w:rFonts w:ascii="Open Sans" w:hAnsi="Open Sans"/>
        </w:rPr>
        <w:t>A CPA or an immediate family member, having an ownership interest in an attest client, are examples of the types of activities that impair the appearance of independence for a CPA firm.</w:t>
      </w:r>
      <w:r w:rsidR="00BC38C1">
        <w:rPr>
          <w:rFonts w:ascii="Open Sans" w:hAnsi="Open Sans"/>
        </w:rPr>
        <w:t xml:space="preserve"> </w:t>
      </w:r>
      <w:r w:rsidRPr="00BC38C1">
        <w:rPr>
          <w:rFonts w:ascii="Open Sans" w:hAnsi="Open Sans"/>
        </w:rPr>
        <w:t>Therefore, it is important for a CPA firm to ask questions of an employee about his or her investments or the investments of his or her spouse (or immediate family member) to avoid the independence in appearance for the firm and its clients.</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rPr>
        <w:t>Section 1.200 of the Code specifies a number of circumstances that can impair the appearance of independence to guide CPAs in observable aspects of ethical conduct that is targeted to situations where CPAs may appear to have a conflict of interest.</w:t>
      </w:r>
      <w:r w:rsidR="00BC38C1">
        <w:rPr>
          <w:rFonts w:ascii="Open Sans" w:hAnsi="Open Sans"/>
        </w:rPr>
        <w:t xml:space="preserve"> </w:t>
      </w:r>
      <w:r w:rsidRPr="00BC38C1">
        <w:rPr>
          <w:rFonts w:ascii="Open Sans" w:hAnsi="Open Sans"/>
        </w:rPr>
        <w:t>As a result, a CPA must think both about how his or her own activities could cause a threat to independence, as well as the activities of his or her spouse or other family members that could threaten independence.</w:t>
      </w:r>
      <w:r w:rsidR="00BC38C1">
        <w:rPr>
          <w:rFonts w:ascii="Open Sans" w:hAnsi="Open Sans"/>
        </w:rPr>
        <w:t xml:space="preserve"> </w:t>
      </w:r>
      <w:r w:rsidRPr="00BC38C1">
        <w:rPr>
          <w:rFonts w:ascii="Open Sans" w:hAnsi="Open Sans"/>
        </w:rPr>
        <w:t>Refer to Illustration 2.5 for definitions of a covered member and activities that impair independence.</w:t>
      </w:r>
    </w:p>
    <w:p w:rsidR="00996BE4" w:rsidRPr="00BC38C1" w:rsidRDefault="00480A2C" w:rsidP="00BC38C1">
      <w:pPr>
        <w:pStyle w:val="BodyA"/>
        <w:ind w:left="0"/>
        <w:rPr>
          <w:rFonts w:ascii="Open Sans" w:hAnsi="Open Sans"/>
          <w:sz w:val="14"/>
          <w:szCs w:val="14"/>
        </w:rPr>
      </w:pPr>
      <w:r w:rsidRPr="00BC38C1">
        <w:rPr>
          <w:rFonts w:ascii="Open Sans" w:hAnsi="Open Sans"/>
          <w:sz w:val="18"/>
          <w:szCs w:val="18"/>
          <w:lang w:val="es-ES_tradnl"/>
        </w:rPr>
        <w:t>LO 5</w:t>
      </w:r>
      <w:r w:rsidRPr="00BC38C1">
        <w:rPr>
          <w:rFonts w:ascii="Open Sans" w:hAnsi="Open Sans"/>
          <w:b/>
          <w:bCs/>
          <w:i/>
          <w:iCs/>
          <w:sz w:val="18"/>
          <w:szCs w:val="18"/>
        </w:rPr>
        <w:t xml:space="preserve">, </w:t>
      </w:r>
      <w:r w:rsidRPr="00BC38C1">
        <w:rPr>
          <w:rFonts w:ascii="Open Sans" w:hAnsi="Open Sans"/>
          <w:sz w:val="18"/>
          <w:szCs w:val="18"/>
        </w:rPr>
        <w:t>BT: AN, Difficulty: Easy, TOT: 10 min., AACSB: Ethics, AICPA: PC: Ethics</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b/>
          <w:bCs/>
        </w:rPr>
        <w:t>R2.8</w:t>
      </w:r>
      <w:r w:rsidRPr="00BC38C1">
        <w:rPr>
          <w:rFonts w:ascii="Open Sans" w:hAnsi="Open Sans"/>
        </w:rPr>
        <w:t xml:space="preserve"> When a professional employee of a CPA firm leaves the firm and is subsequently employed by a firm</w:t>
      </w:r>
      <w:r>
        <w:rPr>
          <w:rFonts w:ascii="Arial Unicode MS" w:hAnsi="Arial Unicode MS"/>
          <w:rtl/>
          <w:lang w:val="ar-SA"/>
        </w:rPr>
        <w:t>’</w:t>
      </w:r>
      <w:r w:rsidRPr="00BC38C1">
        <w:rPr>
          <w:rFonts w:ascii="Open Sans" w:hAnsi="Open Sans"/>
        </w:rPr>
        <w:t>s attest client, independence can be impaired inasmuch as the professional employee may have continuing relationships, such as payout of the pension plan, with the CPA firm.</w:t>
      </w:r>
      <w:r w:rsidR="00BC38C1">
        <w:rPr>
          <w:rFonts w:ascii="Open Sans" w:hAnsi="Open Sans"/>
        </w:rPr>
        <w:t xml:space="preserve"> </w:t>
      </w:r>
      <w:r w:rsidRPr="00BC38C1">
        <w:rPr>
          <w:rFonts w:ascii="Open Sans" w:hAnsi="Open Sans"/>
        </w:rPr>
        <w:t>Also, if the employee goes to work for an attest client, that employee may be familiar with the audit plan and/or staff working on the engagement, and there is a familiarity and undue influence risk that the former employee could influence the engagement.</w:t>
      </w:r>
      <w:r w:rsidR="00BC38C1">
        <w:rPr>
          <w:rFonts w:ascii="Open Sans" w:hAnsi="Open Sans"/>
        </w:rPr>
        <w:t xml:space="preserve"> </w:t>
      </w:r>
      <w:r w:rsidRPr="00BC38C1">
        <w:rPr>
          <w:rFonts w:ascii="Open Sans" w:hAnsi="Open Sans"/>
        </w:rPr>
        <w:t>When a member of the attest engagement team or an individual in a position to influence the attest engagement intends to discuss potential employment from an attest client, independence will be impaired with respect to the client unless the CPA promptly reports such consideration or offer to an appropriate person in the firm, and removes himself or herself from the engagement until the employment offer is rejected or employment with the audit client is no longer being sought.</w:t>
      </w:r>
    </w:p>
    <w:p w:rsidR="00996BE4" w:rsidRPr="00BC38C1" w:rsidRDefault="00480A2C" w:rsidP="00BC38C1">
      <w:pPr>
        <w:pStyle w:val="BodyA"/>
        <w:ind w:left="0"/>
        <w:rPr>
          <w:rFonts w:ascii="Open Sans" w:hAnsi="Open Sans"/>
          <w:b/>
          <w:bCs/>
          <w:sz w:val="14"/>
          <w:szCs w:val="14"/>
        </w:rPr>
      </w:pPr>
      <w:r w:rsidRPr="00BC38C1">
        <w:rPr>
          <w:rFonts w:ascii="Open Sans" w:hAnsi="Open Sans"/>
          <w:sz w:val="18"/>
          <w:szCs w:val="18"/>
        </w:rPr>
        <w:t>LO 3, 5, BT: AP, Difficulty: Moderate, TOT: 10 min., AACSB: Ethics, AICPA PC: Ethics</w:t>
      </w:r>
    </w:p>
    <w:p w:rsidR="00996BE4" w:rsidRPr="00BC38C1" w:rsidRDefault="00996BE4" w:rsidP="00BC38C1">
      <w:pPr>
        <w:pStyle w:val="BodyA"/>
        <w:ind w:left="0"/>
        <w:rPr>
          <w:rFonts w:ascii="Open Sans" w:hAnsi="Open Sans"/>
        </w:rPr>
      </w:pPr>
    </w:p>
    <w:p w:rsidR="00BC38C1" w:rsidRDefault="00480A2C" w:rsidP="00BC38C1">
      <w:pPr>
        <w:pStyle w:val="BodyA"/>
        <w:ind w:left="0"/>
        <w:rPr>
          <w:rFonts w:ascii="Open Sans" w:hAnsi="Open Sans"/>
        </w:rPr>
      </w:pPr>
      <w:r w:rsidRPr="00BC38C1">
        <w:rPr>
          <w:rFonts w:ascii="Open Sans" w:hAnsi="Open Sans"/>
          <w:b/>
          <w:bCs/>
        </w:rPr>
        <w:t xml:space="preserve">R2.9 </w:t>
      </w:r>
      <w:r w:rsidRPr="00BC38C1">
        <w:rPr>
          <w:rFonts w:ascii="Open Sans" w:hAnsi="Open Sans"/>
        </w:rPr>
        <w:t>The SEC and PCAOB rules related to auditor independence rules for public companies are stricter than the AICPA rules that apply to non-public entity audits.</w:t>
      </w:r>
      <w:r w:rsidR="00BC38C1">
        <w:rPr>
          <w:rFonts w:ascii="Open Sans" w:hAnsi="Open Sans"/>
        </w:rPr>
        <w:t xml:space="preserve"> </w:t>
      </w:r>
      <w:r w:rsidRPr="00BC38C1">
        <w:rPr>
          <w:rFonts w:ascii="Open Sans" w:hAnsi="Open Sans"/>
        </w:rPr>
        <w:t>The following table lists a few instances and provides examples of how they are different.</w:t>
      </w:r>
    </w:p>
    <w:p w:rsidR="00996BE4" w:rsidRDefault="00996BE4" w:rsidP="00BC38C1">
      <w:pPr>
        <w:pStyle w:val="BodyA"/>
        <w:ind w:left="0"/>
        <w:rPr>
          <w:rFonts w:ascii="Open Sans" w:hAnsi="Open Sans"/>
        </w:rPr>
      </w:pPr>
    </w:p>
    <w:p w:rsidR="00480A2C" w:rsidRDefault="00480A2C">
      <w:pPr>
        <w:rPr>
          <w:rFonts w:ascii="Open Sans" w:hAnsi="Open Sans" w:cs="Arial Unicode MS"/>
          <w:color w:val="000000"/>
          <w:sz w:val="22"/>
          <w:szCs w:val="22"/>
          <w:u w:color="000000"/>
          <w14:textOutline w14:w="12700" w14:cap="flat" w14:cmpd="sng" w14:algn="ctr">
            <w14:noFill/>
            <w14:prstDash w14:val="solid"/>
            <w14:miter w14:lim="400000"/>
          </w14:textOutline>
        </w:rPr>
      </w:pPr>
      <w:r>
        <w:rPr>
          <w:rFonts w:ascii="Open Sans" w:hAnsi="Open Sans"/>
        </w:rPr>
        <w:br w:type="page"/>
      </w:r>
    </w:p>
    <w:p w:rsidR="00480A2C" w:rsidRPr="00BC38C1" w:rsidRDefault="00480A2C" w:rsidP="00BC38C1">
      <w:pPr>
        <w:pStyle w:val="BodyA"/>
        <w:ind w:left="0"/>
        <w:rPr>
          <w:rFonts w:ascii="Open Sans" w:hAnsi="Open Sans"/>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515"/>
        <w:gridCol w:w="6835"/>
      </w:tblGrid>
      <w:tr w:rsidR="00996BE4" w:rsidTr="00480A2C">
        <w:trPr>
          <w:trHeight w:val="307"/>
        </w:trPr>
        <w:tc>
          <w:tcPr>
            <w:tcW w:w="13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jc w:val="center"/>
              <w:rPr>
                <w:rFonts w:ascii="Open Sans" w:hAnsi="Open Sans"/>
              </w:rPr>
            </w:pPr>
            <w:r w:rsidRPr="00BC38C1">
              <w:rPr>
                <w:rFonts w:ascii="Open Sans" w:hAnsi="Open Sans"/>
                <w:b/>
                <w:bCs/>
              </w:rPr>
              <w:t>Independence Issue</w:t>
            </w:r>
          </w:p>
        </w:tc>
        <w:tc>
          <w:tcPr>
            <w:tcW w:w="36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jc w:val="center"/>
              <w:rPr>
                <w:rFonts w:ascii="Open Sans" w:hAnsi="Open Sans"/>
              </w:rPr>
            </w:pPr>
            <w:r w:rsidRPr="00BC38C1">
              <w:rPr>
                <w:rFonts w:ascii="Open Sans" w:hAnsi="Open Sans"/>
                <w:b/>
                <w:bCs/>
              </w:rPr>
              <w:t>Example</w:t>
            </w:r>
          </w:p>
        </w:tc>
      </w:tr>
      <w:tr w:rsidR="00996BE4" w:rsidTr="00480A2C">
        <w:trPr>
          <w:trHeight w:val="2407"/>
        </w:trPr>
        <w:tc>
          <w:tcPr>
            <w:tcW w:w="13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rPr>
                <w:rFonts w:ascii="Open Sans" w:hAnsi="Open Sans"/>
              </w:rPr>
            </w:pPr>
            <w:r w:rsidRPr="00BC38C1">
              <w:rPr>
                <w:rFonts w:ascii="Open Sans" w:hAnsi="Open Sans"/>
              </w:rPr>
              <w:t>Bookkeeping and financial statement preparation</w:t>
            </w:r>
          </w:p>
        </w:tc>
        <w:tc>
          <w:tcPr>
            <w:tcW w:w="36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8C1" w:rsidRDefault="00480A2C" w:rsidP="00BC38C1">
            <w:pPr>
              <w:pStyle w:val="BodyA"/>
              <w:ind w:left="0"/>
              <w:rPr>
                <w:rFonts w:ascii="Open Sans" w:hAnsi="Open Sans"/>
              </w:rPr>
            </w:pPr>
            <w:r w:rsidRPr="00BC38C1">
              <w:rPr>
                <w:rFonts w:ascii="Open Sans" w:hAnsi="Open Sans"/>
              </w:rPr>
              <w:t>The Sarbanes Oxley Act (SOX) of 2002 prohibits CPA firms from doing any bookkeeping or financial statement preparation services for a public company attest client.</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rPr>
              <w:t>The AICPA rules allow CPAs to do some bookkeeping and to prepare financial statements for a non-public audit client as long as they comply with the rules on non-attest services (ET 1.1295.000)</w:t>
            </w:r>
          </w:p>
        </w:tc>
      </w:tr>
      <w:tr w:rsidR="00996BE4" w:rsidTr="00480A2C">
        <w:trPr>
          <w:trHeight w:val="2107"/>
        </w:trPr>
        <w:tc>
          <w:tcPr>
            <w:tcW w:w="13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rPr>
                <w:rFonts w:ascii="Open Sans" w:hAnsi="Open Sans"/>
              </w:rPr>
            </w:pPr>
            <w:r w:rsidRPr="00BC38C1">
              <w:rPr>
                <w:rFonts w:ascii="Open Sans" w:hAnsi="Open Sans"/>
              </w:rPr>
              <w:t>Internal Audit Outsourcing</w:t>
            </w:r>
          </w:p>
        </w:tc>
        <w:tc>
          <w:tcPr>
            <w:tcW w:w="36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8C1" w:rsidRDefault="00480A2C" w:rsidP="00BC38C1">
            <w:pPr>
              <w:pStyle w:val="BodyA"/>
              <w:ind w:left="0"/>
              <w:rPr>
                <w:rFonts w:ascii="Open Sans" w:hAnsi="Open Sans"/>
              </w:rPr>
            </w:pPr>
            <w:r w:rsidRPr="00BC38C1">
              <w:rPr>
                <w:rFonts w:ascii="Open Sans" w:hAnsi="Open Sans"/>
              </w:rPr>
              <w:t>The Sarbanes Oxley Act (SOX) of 2002 prohibits CPA firms from performing internal audit services for a public company attest client.</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rPr>
              <w:t>The AICPA rules allow CPAs to do perform internal audit services for a non-public audit client as long as they comply with the rules on non-attest services (ET 1.1295.000)</w:t>
            </w:r>
          </w:p>
        </w:tc>
      </w:tr>
      <w:tr w:rsidR="00996BE4" w:rsidTr="00480A2C">
        <w:trPr>
          <w:trHeight w:val="3007"/>
        </w:trPr>
        <w:tc>
          <w:tcPr>
            <w:tcW w:w="13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BE4" w:rsidRPr="00BC38C1" w:rsidRDefault="00480A2C" w:rsidP="00BC38C1">
            <w:pPr>
              <w:pStyle w:val="BodyA"/>
              <w:ind w:left="0"/>
              <w:rPr>
                <w:rFonts w:ascii="Open Sans" w:hAnsi="Open Sans"/>
              </w:rPr>
            </w:pPr>
            <w:r w:rsidRPr="00BC38C1">
              <w:rPr>
                <w:rFonts w:ascii="Open Sans" w:hAnsi="Open Sans"/>
              </w:rPr>
              <w:t>Financial Information System Design</w:t>
            </w:r>
          </w:p>
        </w:tc>
        <w:tc>
          <w:tcPr>
            <w:tcW w:w="36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38C1" w:rsidRDefault="00480A2C" w:rsidP="00BC38C1">
            <w:pPr>
              <w:pStyle w:val="BodyA"/>
              <w:ind w:left="0"/>
              <w:rPr>
                <w:rFonts w:ascii="Open Sans" w:hAnsi="Open Sans"/>
              </w:rPr>
            </w:pPr>
            <w:r w:rsidRPr="00BC38C1">
              <w:rPr>
                <w:rFonts w:ascii="Open Sans" w:hAnsi="Open Sans"/>
              </w:rPr>
              <w:t>The Sarbanes-Oxley Act of 2002 prohibits CPA firms from performing financial information system design and implementation services for a public company attest client.</w:t>
            </w:r>
          </w:p>
          <w:p w:rsidR="00996BE4" w:rsidRPr="00BC38C1" w:rsidRDefault="00996BE4" w:rsidP="00BC38C1">
            <w:pPr>
              <w:pStyle w:val="BodyA"/>
              <w:ind w:left="0"/>
              <w:rPr>
                <w:rFonts w:ascii="Open Sans" w:hAnsi="Open Sans"/>
              </w:rPr>
            </w:pPr>
          </w:p>
          <w:p w:rsidR="00996BE4" w:rsidRPr="00BC38C1" w:rsidRDefault="00480A2C" w:rsidP="00BC38C1">
            <w:pPr>
              <w:pStyle w:val="BodyA"/>
              <w:ind w:left="0"/>
              <w:rPr>
                <w:rFonts w:ascii="Open Sans" w:hAnsi="Open Sans"/>
              </w:rPr>
            </w:pPr>
            <w:r w:rsidRPr="00BC38C1">
              <w:rPr>
                <w:rFonts w:ascii="Open Sans" w:hAnsi="Open Sans"/>
              </w:rPr>
              <w:t>The AICPA rules allow CPAs to help a client with financial information system design in an advisory capacity as long as the client makes final decisions.</w:t>
            </w:r>
            <w:r w:rsidR="00BC38C1">
              <w:rPr>
                <w:rFonts w:ascii="Open Sans" w:hAnsi="Open Sans"/>
              </w:rPr>
              <w:t xml:space="preserve"> </w:t>
            </w:r>
            <w:r w:rsidRPr="00BC38C1">
              <w:rPr>
                <w:rFonts w:ascii="Open Sans" w:hAnsi="Open Sans"/>
              </w:rPr>
              <w:t>Implementation is more difficult for a CPA as it requires performing management functions that would impair independence.</w:t>
            </w:r>
            <w:r w:rsidR="00BC38C1">
              <w:rPr>
                <w:rFonts w:ascii="Open Sans" w:hAnsi="Open Sans"/>
              </w:rPr>
              <w:t xml:space="preserve"> </w:t>
            </w:r>
            <w:r w:rsidRPr="00BC38C1">
              <w:rPr>
                <w:rFonts w:ascii="Open Sans" w:hAnsi="Open Sans"/>
              </w:rPr>
              <w:t>The key rules are the rules on non-attest services (ET 1.1295.000)</w:t>
            </w:r>
          </w:p>
        </w:tc>
      </w:tr>
    </w:tbl>
    <w:p w:rsidR="00996BE4" w:rsidRPr="00BC38C1" w:rsidRDefault="00996BE4" w:rsidP="00480A2C">
      <w:pPr>
        <w:pStyle w:val="BodyA"/>
        <w:ind w:left="0"/>
        <w:rPr>
          <w:rFonts w:ascii="Open Sans" w:hAnsi="Open Sans"/>
        </w:rPr>
      </w:pPr>
    </w:p>
    <w:p w:rsidR="00BC38C1" w:rsidRDefault="00480A2C" w:rsidP="00BC38C1">
      <w:pPr>
        <w:pStyle w:val="BodyA"/>
        <w:ind w:left="0"/>
        <w:rPr>
          <w:rFonts w:ascii="Open Sans" w:hAnsi="Open Sans"/>
          <w:sz w:val="18"/>
          <w:szCs w:val="18"/>
        </w:rPr>
      </w:pPr>
      <w:r w:rsidRPr="00BC38C1">
        <w:rPr>
          <w:rFonts w:ascii="Open Sans" w:hAnsi="Open Sans"/>
          <w:sz w:val="18"/>
          <w:szCs w:val="18"/>
        </w:rPr>
        <w:t>LO 5, BT: AP, Difficulty: Moderate, TOT: 15 min., AACSB: Ethics, AICPA PC: Ethics, Decision Making</w:t>
      </w:r>
    </w:p>
    <w:p w:rsidR="00996BE4" w:rsidRPr="00BC38C1" w:rsidRDefault="00996BE4" w:rsidP="00BC38C1">
      <w:pPr>
        <w:pStyle w:val="BodyA"/>
        <w:ind w:left="0"/>
        <w:rPr>
          <w:rFonts w:ascii="Open Sans" w:hAnsi="Open Sans"/>
        </w:rPr>
      </w:pPr>
    </w:p>
    <w:p w:rsidR="00BC38C1" w:rsidRDefault="00480A2C" w:rsidP="00BC38C1">
      <w:pPr>
        <w:pStyle w:val="BodyA"/>
        <w:ind w:left="0"/>
        <w:rPr>
          <w:rFonts w:ascii="Open Sans" w:hAnsi="Open Sans"/>
        </w:rPr>
      </w:pPr>
      <w:r w:rsidRPr="00BC38C1">
        <w:rPr>
          <w:rFonts w:ascii="Open Sans" w:hAnsi="Open Sans"/>
          <w:b/>
          <w:bCs/>
        </w:rPr>
        <w:t>R2.10</w:t>
      </w:r>
      <w:r w:rsidRPr="00BC38C1">
        <w:rPr>
          <w:rFonts w:ascii="Open Sans" w:hAnsi="Open Sans"/>
        </w:rPr>
        <w:t xml:space="preserve"> The AICPA </w:t>
      </w:r>
      <w:r w:rsidRPr="00BC38C1">
        <w:rPr>
          <w:rFonts w:ascii="Open Sans" w:hAnsi="Open Sans"/>
          <w:i/>
          <w:iCs/>
        </w:rPr>
        <w:t>Code of Professional Conduct</w:t>
      </w:r>
      <w:r w:rsidRPr="00BC38C1">
        <w:rPr>
          <w:rFonts w:ascii="Open Sans" w:hAnsi="Open Sans"/>
        </w:rPr>
        <w:t xml:space="preserve"> lists the following </w:t>
      </w:r>
      <w:r w:rsidRPr="00BC38C1">
        <w:rPr>
          <w:rFonts w:ascii="Open Sans" w:hAnsi="Open Sans"/>
          <w:strike/>
        </w:rPr>
        <w:t>4</w:t>
      </w:r>
      <w:r w:rsidRPr="00BC38C1">
        <w:rPr>
          <w:rFonts w:ascii="Open Sans" w:hAnsi="Open Sans"/>
        </w:rPr>
        <w:t xml:space="preserve"> four aspects:</w:t>
      </w:r>
    </w:p>
    <w:p w:rsidR="00BC38C1" w:rsidRDefault="00480A2C" w:rsidP="00034E24">
      <w:pPr>
        <w:pStyle w:val="ListParagraph"/>
        <w:numPr>
          <w:ilvl w:val="0"/>
          <w:numId w:val="6"/>
        </w:numPr>
        <w:ind w:left="547" w:hanging="547"/>
        <w:rPr>
          <w:rFonts w:ascii="Open Sans" w:hAnsi="Open Sans"/>
        </w:rPr>
      </w:pPr>
      <w:r>
        <w:rPr>
          <w:rFonts w:ascii="Open Sans" w:hAnsi="Open Sans"/>
        </w:rPr>
        <w:tab/>
      </w:r>
      <w:r w:rsidRPr="00BC38C1">
        <w:rPr>
          <w:rFonts w:ascii="Open Sans" w:hAnsi="Open Sans"/>
          <w:i/>
          <w:iCs/>
        </w:rPr>
        <w:t>Professional competence</w:t>
      </w:r>
      <w:r w:rsidRPr="00BC38C1">
        <w:rPr>
          <w:rFonts w:ascii="Open Sans" w:hAnsi="Open Sans"/>
        </w:rPr>
        <w:t xml:space="preserve"> states that a CPA may undertake only those professional services that the member or members firm can reasonably expect to be completed with professional competence.</w:t>
      </w:r>
      <w:r w:rsidR="00BC38C1">
        <w:rPr>
          <w:rFonts w:ascii="Open Sans" w:hAnsi="Open Sans"/>
        </w:rPr>
        <w:t xml:space="preserve"> </w:t>
      </w:r>
      <w:r w:rsidRPr="00BC38C1">
        <w:rPr>
          <w:rFonts w:ascii="Open Sans" w:hAnsi="Open Sans"/>
        </w:rPr>
        <w:t>An example of this standard exists when a CPA does not have sufficient competence to complete the engagement.</w:t>
      </w:r>
      <w:r w:rsidR="00BC38C1">
        <w:rPr>
          <w:rFonts w:ascii="Open Sans" w:hAnsi="Open Sans"/>
        </w:rPr>
        <w:t xml:space="preserve"> </w:t>
      </w:r>
      <w:r w:rsidRPr="00BC38C1">
        <w:rPr>
          <w:rFonts w:ascii="Open Sans" w:hAnsi="Open Sans"/>
        </w:rPr>
        <w:t xml:space="preserve">For example, if </w:t>
      </w:r>
      <w:proofErr w:type="gramStart"/>
      <w:r w:rsidRPr="00BC38C1">
        <w:rPr>
          <w:rFonts w:ascii="Open Sans" w:hAnsi="Open Sans"/>
        </w:rPr>
        <w:t>an</w:t>
      </w:r>
      <w:proofErr w:type="gramEnd"/>
      <w:r w:rsidRPr="00BC38C1">
        <w:rPr>
          <w:rFonts w:ascii="Open Sans" w:hAnsi="Open Sans"/>
        </w:rPr>
        <w:t xml:space="preserve"> member who performs only audit services is approached by a client to perform tax services, the member should refer the engagement to another CPA with the appropriate qualifications.</w:t>
      </w:r>
      <w:r w:rsidR="00BC38C1">
        <w:rPr>
          <w:rFonts w:ascii="Open Sans" w:hAnsi="Open Sans"/>
        </w:rPr>
        <w:t xml:space="preserve"> </w:t>
      </w:r>
      <w:r w:rsidRPr="00BC38C1">
        <w:rPr>
          <w:rFonts w:ascii="Open Sans" w:hAnsi="Open Sans"/>
        </w:rPr>
        <w:t>Alternatively, the CPA would have to develop the competence needed to perform the tax engagement before the work starts.</w:t>
      </w:r>
    </w:p>
    <w:p w:rsidR="00996BE4" w:rsidRPr="00BC38C1" w:rsidRDefault="00996BE4" w:rsidP="00BC38C1">
      <w:pPr>
        <w:pStyle w:val="BodyA"/>
        <w:ind w:left="0"/>
        <w:rPr>
          <w:rFonts w:ascii="Open Sans" w:hAnsi="Open Sans"/>
        </w:rPr>
      </w:pPr>
    </w:p>
    <w:p w:rsidR="00996BE4" w:rsidRPr="00BC38C1" w:rsidRDefault="00034E24" w:rsidP="00034E24">
      <w:pPr>
        <w:pStyle w:val="ListParagraph"/>
        <w:numPr>
          <w:ilvl w:val="0"/>
          <w:numId w:val="6"/>
        </w:numPr>
        <w:ind w:left="547" w:hanging="547"/>
        <w:rPr>
          <w:rFonts w:ascii="Open Sans" w:hAnsi="Open Sans"/>
        </w:rPr>
      </w:pPr>
      <w:r>
        <w:rPr>
          <w:rFonts w:ascii="Open Sans" w:hAnsi="Open Sans"/>
        </w:rPr>
        <w:lastRenderedPageBreak/>
        <w:tab/>
      </w:r>
      <w:r w:rsidR="00480A2C" w:rsidRPr="00BC38C1">
        <w:rPr>
          <w:rFonts w:ascii="Open Sans" w:hAnsi="Open Sans"/>
        </w:rPr>
        <w:t xml:space="preserve">The </w:t>
      </w:r>
      <w:r w:rsidR="00480A2C" w:rsidRPr="00BC38C1">
        <w:rPr>
          <w:rFonts w:ascii="Open Sans" w:hAnsi="Open Sans"/>
          <w:i/>
          <w:iCs/>
        </w:rPr>
        <w:t>due care</w:t>
      </w:r>
      <w:r w:rsidR="00480A2C" w:rsidRPr="00BC38C1">
        <w:rPr>
          <w:rFonts w:ascii="Open Sans" w:hAnsi="Open Sans"/>
        </w:rPr>
        <w:t xml:space="preserve"> standard expects CPAs to exercise the professional care that would be expected of other CPAs performing the same work.</w:t>
      </w:r>
      <w:r w:rsidR="00BC38C1">
        <w:rPr>
          <w:rFonts w:ascii="Open Sans" w:hAnsi="Open Sans"/>
        </w:rPr>
        <w:t xml:space="preserve"> </w:t>
      </w:r>
      <w:r w:rsidR="00480A2C" w:rsidRPr="00BC38C1">
        <w:rPr>
          <w:rFonts w:ascii="Open Sans" w:hAnsi="Open Sans"/>
        </w:rPr>
        <w:t>For example, in the audit engagement, this would include following Generally Accepted Auditing Standards (GAAS).</w:t>
      </w:r>
    </w:p>
    <w:p w:rsidR="00996BE4" w:rsidRPr="00BC38C1" w:rsidRDefault="00996BE4" w:rsidP="00BC38C1">
      <w:pPr>
        <w:pStyle w:val="BodyA"/>
        <w:ind w:left="0"/>
        <w:rPr>
          <w:rFonts w:ascii="Open Sans" w:hAnsi="Open Sans"/>
        </w:rPr>
      </w:pPr>
    </w:p>
    <w:p w:rsidR="00BC38C1" w:rsidRDefault="00034E24" w:rsidP="00034E24">
      <w:pPr>
        <w:pStyle w:val="ListParagraph"/>
        <w:numPr>
          <w:ilvl w:val="0"/>
          <w:numId w:val="6"/>
        </w:numPr>
        <w:ind w:left="547" w:hanging="547"/>
        <w:rPr>
          <w:rFonts w:ascii="Open Sans" w:hAnsi="Open Sans"/>
        </w:rPr>
      </w:pPr>
      <w:r>
        <w:rPr>
          <w:rFonts w:ascii="Open Sans" w:hAnsi="Open Sans"/>
        </w:rPr>
        <w:tab/>
      </w:r>
      <w:r w:rsidR="00480A2C" w:rsidRPr="00BC38C1">
        <w:rPr>
          <w:rFonts w:ascii="Open Sans" w:hAnsi="Open Sans"/>
        </w:rPr>
        <w:t xml:space="preserve">The </w:t>
      </w:r>
      <w:r w:rsidR="00480A2C" w:rsidRPr="00BC38C1">
        <w:rPr>
          <w:rFonts w:ascii="Open Sans" w:hAnsi="Open Sans"/>
          <w:i/>
          <w:iCs/>
        </w:rPr>
        <w:t>planning and supervision</w:t>
      </w:r>
      <w:r w:rsidR="00480A2C" w:rsidRPr="00BC38C1">
        <w:rPr>
          <w:rFonts w:ascii="Open Sans" w:hAnsi="Open Sans"/>
        </w:rPr>
        <w:t xml:space="preserve"> standard states all engagements should be adequately planned and supervised.</w:t>
      </w:r>
      <w:r w:rsidR="00BC38C1">
        <w:rPr>
          <w:rFonts w:ascii="Open Sans" w:hAnsi="Open Sans"/>
        </w:rPr>
        <w:t xml:space="preserve"> </w:t>
      </w:r>
      <w:r w:rsidR="00480A2C" w:rsidRPr="00BC38C1">
        <w:rPr>
          <w:rFonts w:ascii="Open Sans" w:hAnsi="Open Sans"/>
        </w:rPr>
        <w:t>If a CPA is working on a review of financial statements, or a tax engagement, both engagements need to be adequately planned and supervised.</w:t>
      </w:r>
    </w:p>
    <w:p w:rsidR="00996BE4" w:rsidRPr="00BC38C1" w:rsidRDefault="00996BE4" w:rsidP="00BC38C1">
      <w:pPr>
        <w:pStyle w:val="BodyA"/>
        <w:ind w:left="0"/>
        <w:rPr>
          <w:rFonts w:ascii="Open Sans" w:hAnsi="Open Sans"/>
        </w:rPr>
      </w:pPr>
    </w:p>
    <w:p w:rsidR="00996BE4" w:rsidRPr="00BC38C1" w:rsidRDefault="00034E24" w:rsidP="00034E24">
      <w:pPr>
        <w:pStyle w:val="ListParagraph"/>
        <w:numPr>
          <w:ilvl w:val="0"/>
          <w:numId w:val="6"/>
        </w:numPr>
        <w:ind w:left="547" w:hanging="547"/>
        <w:rPr>
          <w:rFonts w:ascii="Open Sans" w:hAnsi="Open Sans"/>
        </w:rPr>
      </w:pPr>
      <w:r>
        <w:rPr>
          <w:rFonts w:ascii="Open Sans" w:hAnsi="Open Sans"/>
        </w:rPr>
        <w:tab/>
      </w:r>
      <w:r w:rsidR="00480A2C" w:rsidRPr="00BC38C1">
        <w:rPr>
          <w:rFonts w:ascii="Open Sans" w:hAnsi="Open Sans"/>
        </w:rPr>
        <w:t xml:space="preserve">In the performance of any professional services, CPAs should obtain </w:t>
      </w:r>
      <w:r w:rsidR="00480A2C" w:rsidRPr="00BC38C1">
        <w:rPr>
          <w:rFonts w:ascii="Open Sans" w:hAnsi="Open Sans"/>
          <w:i/>
          <w:iCs/>
        </w:rPr>
        <w:t>sufficient, relevant information</w:t>
      </w:r>
      <w:r w:rsidR="00480A2C" w:rsidRPr="00BC38C1">
        <w:rPr>
          <w:rFonts w:ascii="Open Sans" w:hAnsi="Open Sans"/>
        </w:rPr>
        <w:t>.</w:t>
      </w:r>
      <w:r w:rsidR="00BC38C1">
        <w:rPr>
          <w:rFonts w:ascii="Open Sans" w:hAnsi="Open Sans"/>
        </w:rPr>
        <w:t xml:space="preserve"> </w:t>
      </w:r>
      <w:r w:rsidR="00480A2C" w:rsidRPr="00BC38C1">
        <w:rPr>
          <w:rFonts w:ascii="Open Sans" w:hAnsi="Open Sans"/>
        </w:rPr>
        <w:t>The level of information relates to the services performed, and a CPA performing an audit engagement will need sufficient, competent evidence.</w:t>
      </w:r>
      <w:r w:rsidR="00BC38C1">
        <w:rPr>
          <w:rFonts w:ascii="Open Sans" w:hAnsi="Open Sans"/>
        </w:rPr>
        <w:t xml:space="preserve"> </w:t>
      </w:r>
      <w:r w:rsidR="00480A2C" w:rsidRPr="00BC38C1">
        <w:rPr>
          <w:rFonts w:ascii="Open Sans" w:hAnsi="Open Sans"/>
        </w:rPr>
        <w:t>A CPA preparing a tax return will need information that is appropriate sufficient and relevant to perform the engagement.</w:t>
      </w:r>
    </w:p>
    <w:p w:rsidR="00996BE4" w:rsidRPr="00BC38C1" w:rsidRDefault="00480A2C" w:rsidP="00BC38C1">
      <w:pPr>
        <w:pStyle w:val="BodyA"/>
        <w:ind w:left="0"/>
        <w:rPr>
          <w:rFonts w:ascii="Open Sans" w:hAnsi="Open Sans"/>
          <w:sz w:val="14"/>
          <w:szCs w:val="14"/>
        </w:rPr>
      </w:pPr>
      <w:r w:rsidRPr="00BC38C1">
        <w:rPr>
          <w:rFonts w:ascii="Open Sans" w:hAnsi="Open Sans"/>
          <w:sz w:val="18"/>
          <w:szCs w:val="18"/>
        </w:rPr>
        <w:t>LO 6, BT: AP, Difficulty: Moderate, TOT: 15 min., AACSB: Ethics, AICPA PC: Ethics</w:t>
      </w:r>
    </w:p>
    <w:p w:rsidR="00996BE4" w:rsidRPr="00BC38C1" w:rsidRDefault="00996BE4" w:rsidP="00BC38C1">
      <w:pPr>
        <w:pStyle w:val="BodyA"/>
        <w:ind w:left="0"/>
        <w:rPr>
          <w:rFonts w:ascii="Open Sans" w:hAnsi="Open Sans"/>
        </w:rPr>
      </w:pPr>
    </w:p>
    <w:p w:rsidR="00BC38C1" w:rsidRDefault="00480A2C" w:rsidP="00BC38C1">
      <w:pPr>
        <w:pStyle w:val="BodyA"/>
        <w:ind w:left="0"/>
        <w:rPr>
          <w:rFonts w:ascii="Open Sans" w:hAnsi="Open Sans"/>
        </w:rPr>
      </w:pPr>
      <w:r w:rsidRPr="00BC38C1">
        <w:rPr>
          <w:rFonts w:ascii="Open Sans" w:hAnsi="Open Sans"/>
          <w:b/>
          <w:bCs/>
        </w:rPr>
        <w:t>R2.11</w:t>
      </w:r>
      <w:r w:rsidRPr="00BC38C1">
        <w:rPr>
          <w:rFonts w:ascii="Open Sans" w:hAnsi="Open Sans"/>
        </w:rPr>
        <w:t xml:space="preserve"> Henry Owens and the firm do not need to be independent to prepare tax returns or compiled financial statements.</w:t>
      </w:r>
      <w:r w:rsidR="00BC38C1">
        <w:rPr>
          <w:rFonts w:ascii="Open Sans" w:hAnsi="Open Sans"/>
        </w:rPr>
        <w:t xml:space="preserve"> </w:t>
      </w:r>
      <w:r w:rsidRPr="00BC38C1">
        <w:rPr>
          <w:rFonts w:ascii="Open Sans" w:hAnsi="Open Sans"/>
        </w:rPr>
        <w:t>Henry and his firm are not in violation of the Code of Professional Conduct by taking on the contingent fee engagement to prepare a claim for damages from BP, based on ET 1.510 on Contingent Fees and ET 1.520 on Commissions and Referral Fees.</w:t>
      </w:r>
      <w:r w:rsidR="00BC38C1">
        <w:rPr>
          <w:rFonts w:ascii="Open Sans" w:hAnsi="Open Sans"/>
        </w:rPr>
        <w:t xml:space="preserve"> </w:t>
      </w:r>
      <w:r w:rsidRPr="00BC38C1">
        <w:rPr>
          <w:rFonts w:ascii="Open Sans" w:hAnsi="Open Sans"/>
        </w:rPr>
        <w:t>However, when the firm prepares quarterly compiled financial statements it needs to state that the firm is not independent of the client.</w:t>
      </w:r>
    </w:p>
    <w:p w:rsidR="00996BE4" w:rsidRPr="00BC38C1" w:rsidRDefault="00480A2C" w:rsidP="00BC38C1">
      <w:pPr>
        <w:pStyle w:val="BodyA"/>
        <w:ind w:left="0"/>
        <w:rPr>
          <w:rFonts w:ascii="Open Sans" w:hAnsi="Open Sans"/>
          <w:sz w:val="14"/>
          <w:szCs w:val="14"/>
        </w:rPr>
      </w:pPr>
      <w:r w:rsidRPr="00BC38C1">
        <w:rPr>
          <w:rFonts w:ascii="Open Sans" w:hAnsi="Open Sans"/>
          <w:sz w:val="18"/>
          <w:szCs w:val="18"/>
        </w:rPr>
        <w:t>LO 7, BT: E, Difficulty: Challenging, TOT: 15 min., AACSB: Ethics, AICPA PC: Ethics and Decision Making</w:t>
      </w:r>
    </w:p>
    <w:p w:rsidR="00996BE4" w:rsidRPr="00BC38C1" w:rsidRDefault="00996BE4" w:rsidP="00034E24">
      <w:pPr>
        <w:pStyle w:val="BodyA"/>
        <w:ind w:left="0"/>
        <w:rPr>
          <w:rFonts w:ascii="Open Sans" w:hAnsi="Open Sans"/>
        </w:rPr>
      </w:pPr>
    </w:p>
    <w:p w:rsidR="00996BE4" w:rsidRPr="00BC38C1" w:rsidRDefault="00480A2C" w:rsidP="00BC38C1">
      <w:pPr>
        <w:pStyle w:val="BodyA"/>
        <w:ind w:left="0"/>
        <w:rPr>
          <w:rFonts w:ascii="Open Sans" w:hAnsi="Open Sans"/>
          <w:lang w:val="de-DE"/>
        </w:rPr>
      </w:pPr>
      <w:r w:rsidRPr="00BC38C1">
        <w:rPr>
          <w:rFonts w:ascii="Open Sans" w:hAnsi="Open Sans"/>
          <w:b/>
          <w:bCs/>
          <w:lang w:val="de-DE"/>
        </w:rPr>
        <w:t>R2.12</w:t>
      </w:r>
      <w:r w:rsidRPr="00BC38C1">
        <w:rPr>
          <w:rFonts w:ascii="Open Sans" w:hAnsi="Open Sans"/>
          <w:lang w:val="de-DE"/>
        </w:rPr>
        <w:t xml:space="preserve"> </w:t>
      </w:r>
      <w:r w:rsidRPr="00BC38C1">
        <w:rPr>
          <w:rFonts w:ascii="Open Sans" w:hAnsi="Open Sans"/>
        </w:rPr>
        <w:t>A third party may be defined as an individual, who is not the client, but who used the client</w:t>
      </w:r>
      <w:r>
        <w:rPr>
          <w:rFonts w:ascii="Arial Unicode MS" w:hAnsi="Arial Unicode MS"/>
          <w:rtl/>
          <w:lang w:val="ar-SA"/>
        </w:rPr>
        <w:t>’</w:t>
      </w:r>
      <w:r w:rsidRPr="00BC38C1">
        <w:rPr>
          <w:rFonts w:ascii="Open Sans" w:hAnsi="Open Sans"/>
        </w:rPr>
        <w:t>s audited financial statements in his or her decision making.</w:t>
      </w:r>
      <w:r w:rsidR="00BC38C1">
        <w:rPr>
          <w:rFonts w:ascii="Open Sans" w:hAnsi="Open Sans"/>
        </w:rPr>
        <w:t xml:space="preserve"> </w:t>
      </w:r>
      <w:r w:rsidRPr="00BC38C1">
        <w:rPr>
          <w:rFonts w:ascii="Open Sans" w:hAnsi="Open Sans"/>
        </w:rPr>
        <w:t>In general, the plaintiff must prove the following when suing an auditor:</w:t>
      </w:r>
    </w:p>
    <w:p w:rsidR="00BC38C1" w:rsidRDefault="00480A2C" w:rsidP="00034E24">
      <w:pPr>
        <w:pStyle w:val="ListParagraph"/>
        <w:numPr>
          <w:ilvl w:val="0"/>
          <w:numId w:val="8"/>
        </w:numPr>
        <w:ind w:left="360"/>
        <w:rPr>
          <w:rFonts w:ascii="Open Sans" w:hAnsi="Open Sans"/>
        </w:rPr>
      </w:pPr>
      <w:r w:rsidRPr="00BC38C1">
        <w:rPr>
          <w:rFonts w:ascii="Open Sans" w:hAnsi="Open Sans"/>
        </w:rPr>
        <w:t>The auditor owed a duty of care to the plaintiff.</w:t>
      </w:r>
      <w:r w:rsidR="00BC38C1">
        <w:rPr>
          <w:rFonts w:ascii="Open Sans" w:hAnsi="Open Sans"/>
        </w:rPr>
        <w:t xml:space="preserve"> </w:t>
      </w:r>
      <w:r w:rsidRPr="00BC38C1">
        <w:rPr>
          <w:rFonts w:ascii="Open Sans" w:hAnsi="Open Sans"/>
        </w:rPr>
        <w:t xml:space="preserve">The level of care owed to the plaintiff depends on state laws regarding </w:t>
      </w:r>
      <w:proofErr w:type="spellStart"/>
      <w:r w:rsidRPr="00BC38C1">
        <w:rPr>
          <w:rFonts w:ascii="Open Sans" w:hAnsi="Open Sans"/>
        </w:rPr>
        <w:t>privity</w:t>
      </w:r>
      <w:proofErr w:type="spellEnd"/>
      <w:r w:rsidRPr="00BC38C1">
        <w:rPr>
          <w:rFonts w:ascii="Open Sans" w:hAnsi="Open Sans"/>
        </w:rPr>
        <w:t>.</w:t>
      </w:r>
      <w:r w:rsidR="00BC38C1">
        <w:rPr>
          <w:rFonts w:ascii="Open Sans" w:hAnsi="Open Sans"/>
        </w:rPr>
        <w:t xml:space="preserve"> </w:t>
      </w:r>
      <w:r w:rsidRPr="00BC38C1">
        <w:rPr>
          <w:rFonts w:ascii="Open Sans" w:hAnsi="Open Sans"/>
        </w:rPr>
        <w:t>For example, under the Restatement of Torts standard the auditor owes a duty of care to any foreseen users of financial statements.</w:t>
      </w:r>
    </w:p>
    <w:p w:rsidR="00BC38C1" w:rsidRDefault="00480A2C" w:rsidP="00034E24">
      <w:pPr>
        <w:pStyle w:val="ListParagraph"/>
        <w:numPr>
          <w:ilvl w:val="0"/>
          <w:numId w:val="8"/>
        </w:numPr>
        <w:ind w:left="360"/>
        <w:rPr>
          <w:rFonts w:ascii="Open Sans" w:hAnsi="Open Sans"/>
        </w:rPr>
      </w:pPr>
      <w:r w:rsidRPr="00BC38C1">
        <w:rPr>
          <w:rFonts w:ascii="Open Sans" w:hAnsi="Open Sans"/>
        </w:rPr>
        <w:t>The auditor breached the duty by failing to act with due care (negligence).</w:t>
      </w:r>
      <w:r w:rsidR="00BC38C1">
        <w:rPr>
          <w:rFonts w:ascii="Open Sans" w:hAnsi="Open Sans"/>
        </w:rPr>
        <w:t xml:space="preserve"> </w:t>
      </w:r>
      <w:r w:rsidRPr="00BC38C1">
        <w:rPr>
          <w:rFonts w:ascii="Open Sans" w:hAnsi="Open Sans"/>
        </w:rPr>
        <w:t>For example, an auditor would be negligent by failing to follow Generally Accepted Auditing Standards (GAAS).</w:t>
      </w:r>
    </w:p>
    <w:p w:rsidR="00BC38C1" w:rsidRDefault="00480A2C" w:rsidP="00034E24">
      <w:pPr>
        <w:pStyle w:val="ListParagraph"/>
        <w:numPr>
          <w:ilvl w:val="0"/>
          <w:numId w:val="8"/>
        </w:numPr>
        <w:ind w:left="360"/>
        <w:rPr>
          <w:rFonts w:ascii="Open Sans" w:hAnsi="Open Sans"/>
        </w:rPr>
      </w:pPr>
      <w:r w:rsidRPr="00BC38C1">
        <w:rPr>
          <w:rFonts w:ascii="Open Sans" w:hAnsi="Open Sans"/>
        </w:rPr>
        <w:t>The auditor’s negligence was the proximate cause of the plaintiff’s damage.</w:t>
      </w:r>
      <w:r w:rsidR="00BC38C1">
        <w:rPr>
          <w:rFonts w:ascii="Open Sans" w:hAnsi="Open Sans"/>
        </w:rPr>
        <w:t xml:space="preserve"> </w:t>
      </w:r>
      <w:r w:rsidRPr="00BC38C1">
        <w:rPr>
          <w:rFonts w:ascii="Open Sans" w:hAnsi="Open Sans"/>
        </w:rPr>
        <w:t>For example, the plaintiff must show that they relied on the audited financial statements and that reliance was the proximate cause of the plaintiff’s losses.</w:t>
      </w:r>
    </w:p>
    <w:p w:rsidR="00996BE4" w:rsidRPr="00BC38C1" w:rsidRDefault="00480A2C" w:rsidP="00034E24">
      <w:pPr>
        <w:pStyle w:val="ListParagraph"/>
        <w:numPr>
          <w:ilvl w:val="0"/>
          <w:numId w:val="8"/>
        </w:numPr>
        <w:ind w:left="360"/>
        <w:rPr>
          <w:rFonts w:ascii="Open Sans" w:hAnsi="Open Sans"/>
        </w:rPr>
      </w:pPr>
      <w:r w:rsidRPr="00BC38C1">
        <w:rPr>
          <w:rFonts w:ascii="Open Sans" w:hAnsi="Open Sans"/>
        </w:rPr>
        <w:t>The plaintiff had actual damages.</w:t>
      </w:r>
      <w:r w:rsidR="00BC38C1">
        <w:rPr>
          <w:rFonts w:ascii="Open Sans" w:hAnsi="Open Sans"/>
        </w:rPr>
        <w:t xml:space="preserve"> </w:t>
      </w:r>
      <w:r w:rsidRPr="00BC38C1">
        <w:rPr>
          <w:rFonts w:ascii="Open Sans" w:hAnsi="Open Sans"/>
        </w:rPr>
        <w:t>The plaintiff must show that the auditor’s failure to follow GAAS resulted in damages (e.g., loss of an investment based on the financial statements).</w:t>
      </w:r>
    </w:p>
    <w:p w:rsidR="00996BE4" w:rsidRPr="00BC38C1" w:rsidRDefault="00480A2C" w:rsidP="00BC38C1">
      <w:pPr>
        <w:pStyle w:val="BodyA"/>
        <w:ind w:left="0"/>
        <w:rPr>
          <w:rFonts w:ascii="Open Sans" w:hAnsi="Open Sans"/>
          <w:sz w:val="14"/>
          <w:szCs w:val="14"/>
          <w:lang w:val="it-IT"/>
        </w:rPr>
      </w:pPr>
      <w:r w:rsidRPr="00BC38C1">
        <w:rPr>
          <w:rFonts w:ascii="Open Sans" w:hAnsi="Open Sans"/>
          <w:sz w:val="18"/>
          <w:szCs w:val="18"/>
          <w:lang w:val="it-IT"/>
        </w:rPr>
        <w:t>LO 8, BT: AP, Difficulty: Moderate, TOT: 15 min., AACSB: None, AICPA: None</w:t>
      </w:r>
    </w:p>
    <w:p w:rsidR="00996BE4" w:rsidRPr="00BC38C1" w:rsidRDefault="00996BE4" w:rsidP="00BC38C1">
      <w:pPr>
        <w:pStyle w:val="BodyA"/>
        <w:ind w:left="0"/>
        <w:rPr>
          <w:rFonts w:ascii="Open Sans" w:hAnsi="Open Sans"/>
        </w:rPr>
      </w:pPr>
    </w:p>
    <w:p w:rsidR="00034E24" w:rsidRDefault="00034E24">
      <w:pPr>
        <w:rPr>
          <w:rFonts w:ascii="Open Sans" w:hAnsi="Open Sans" w:cs="Arial Unicode MS"/>
          <w:b/>
          <w:bCs/>
          <w:color w:val="000000"/>
          <w:sz w:val="22"/>
          <w:szCs w:val="22"/>
          <w:u w:color="000000"/>
          <w:lang w:val="de-DE"/>
          <w14:textOutline w14:w="12700" w14:cap="flat" w14:cmpd="sng" w14:algn="ctr">
            <w14:noFill/>
            <w14:prstDash w14:val="solid"/>
            <w14:miter w14:lim="400000"/>
          </w14:textOutline>
        </w:rPr>
      </w:pPr>
      <w:r>
        <w:rPr>
          <w:rFonts w:ascii="Open Sans" w:hAnsi="Open Sans"/>
          <w:b/>
          <w:bCs/>
          <w:lang w:val="de-DE"/>
        </w:rPr>
        <w:br w:type="page"/>
      </w:r>
    </w:p>
    <w:p w:rsidR="00BC38C1" w:rsidRDefault="00480A2C" w:rsidP="00BC38C1">
      <w:pPr>
        <w:pStyle w:val="BodyA"/>
        <w:ind w:left="0"/>
        <w:rPr>
          <w:rFonts w:ascii="Open Sans" w:hAnsi="Open Sans"/>
          <w:lang w:val="de-DE"/>
        </w:rPr>
      </w:pPr>
      <w:r w:rsidRPr="00BC38C1">
        <w:rPr>
          <w:rFonts w:ascii="Open Sans" w:hAnsi="Open Sans"/>
          <w:b/>
          <w:bCs/>
          <w:lang w:val="de-DE"/>
        </w:rPr>
        <w:lastRenderedPageBreak/>
        <w:t>R2.13</w:t>
      </w:r>
      <w:r w:rsidRPr="00BC38C1">
        <w:rPr>
          <w:rFonts w:ascii="Open Sans" w:hAnsi="Open Sans"/>
          <w:lang w:val="de-DE"/>
        </w:rPr>
        <w:t xml:space="preserve"> Because John Rodriguez purchased bonds in the primary market (e.g. a new issue of securities) the Securities Act of 1933 applies.</w:t>
      </w:r>
      <w:r w:rsidR="00BC38C1">
        <w:rPr>
          <w:rFonts w:ascii="Open Sans" w:hAnsi="Open Sans"/>
          <w:lang w:val="de-DE"/>
        </w:rPr>
        <w:t xml:space="preserve"> </w:t>
      </w:r>
      <w:r w:rsidRPr="00BC38C1">
        <w:rPr>
          <w:rFonts w:ascii="Open Sans" w:hAnsi="Open Sans"/>
          <w:lang w:val="de-DE"/>
        </w:rPr>
        <w:t>John only needs to prove:</w:t>
      </w:r>
    </w:p>
    <w:p w:rsidR="00BC38C1" w:rsidRDefault="00034E24" w:rsidP="00034E24">
      <w:pPr>
        <w:pStyle w:val="ListParagraph"/>
        <w:numPr>
          <w:ilvl w:val="0"/>
          <w:numId w:val="10"/>
        </w:numPr>
        <w:ind w:left="547" w:hanging="547"/>
        <w:rPr>
          <w:rFonts w:ascii="Open Sans" w:hAnsi="Open Sans"/>
        </w:rPr>
      </w:pPr>
      <w:r>
        <w:rPr>
          <w:rFonts w:ascii="Open Sans" w:hAnsi="Open Sans"/>
        </w:rPr>
        <w:tab/>
      </w:r>
      <w:r w:rsidR="00480A2C" w:rsidRPr="00BC38C1">
        <w:rPr>
          <w:rFonts w:ascii="Open Sans" w:hAnsi="Open Sans"/>
        </w:rPr>
        <w:t>That he acquired the securities described in the registration statement,</w:t>
      </w:r>
    </w:p>
    <w:p w:rsidR="00BC38C1" w:rsidRDefault="00034E24" w:rsidP="00034E24">
      <w:pPr>
        <w:pStyle w:val="ListParagraph"/>
        <w:numPr>
          <w:ilvl w:val="0"/>
          <w:numId w:val="10"/>
        </w:numPr>
        <w:ind w:left="547" w:hanging="547"/>
        <w:rPr>
          <w:rFonts w:ascii="Open Sans" w:hAnsi="Open Sans"/>
        </w:rPr>
      </w:pPr>
      <w:r>
        <w:rPr>
          <w:rFonts w:ascii="Open Sans" w:hAnsi="Open Sans"/>
        </w:rPr>
        <w:tab/>
      </w:r>
      <w:r w:rsidR="00480A2C" w:rsidRPr="00BC38C1">
        <w:rPr>
          <w:rFonts w:ascii="Open Sans" w:hAnsi="Open Sans"/>
        </w:rPr>
        <w:t>That he incurred a loss, and</w:t>
      </w:r>
    </w:p>
    <w:p w:rsidR="00996BE4" w:rsidRPr="00BC38C1" w:rsidRDefault="00034E24" w:rsidP="00034E24">
      <w:pPr>
        <w:pStyle w:val="ListParagraph"/>
        <w:numPr>
          <w:ilvl w:val="0"/>
          <w:numId w:val="10"/>
        </w:numPr>
        <w:ind w:left="547" w:hanging="547"/>
        <w:rPr>
          <w:rFonts w:ascii="Open Sans" w:hAnsi="Open Sans"/>
        </w:rPr>
      </w:pPr>
      <w:r>
        <w:rPr>
          <w:rFonts w:ascii="Open Sans" w:hAnsi="Open Sans"/>
        </w:rPr>
        <w:tab/>
      </w:r>
      <w:r w:rsidR="00480A2C" w:rsidRPr="00BC38C1">
        <w:rPr>
          <w:rFonts w:ascii="Open Sans" w:hAnsi="Open Sans"/>
        </w:rPr>
        <w:t>The financial statements included in the registration statement were materially false or misleading,</w:t>
      </w:r>
    </w:p>
    <w:p w:rsidR="00996BE4" w:rsidRPr="00BC38C1" w:rsidRDefault="00480A2C" w:rsidP="00BC38C1">
      <w:pPr>
        <w:pStyle w:val="BodyA"/>
        <w:ind w:left="0"/>
        <w:rPr>
          <w:rFonts w:ascii="Open Sans" w:hAnsi="Open Sans"/>
          <w:sz w:val="18"/>
          <w:szCs w:val="18"/>
          <w:lang w:val="it-IT"/>
        </w:rPr>
      </w:pPr>
      <w:r w:rsidRPr="00BC38C1">
        <w:rPr>
          <w:rFonts w:ascii="Open Sans" w:hAnsi="Open Sans"/>
          <w:sz w:val="18"/>
          <w:szCs w:val="18"/>
          <w:lang w:val="it-IT"/>
        </w:rPr>
        <w:t>LO 9 BT: A, Difficulty: Moderate, TOT: 10 min., AACSB: None, AICPA: None</w:t>
      </w:r>
    </w:p>
    <w:p w:rsidR="00996BE4" w:rsidRPr="00BC38C1" w:rsidRDefault="00996BE4" w:rsidP="00BC38C1">
      <w:pPr>
        <w:pStyle w:val="BodyA"/>
        <w:ind w:left="0"/>
        <w:rPr>
          <w:rFonts w:ascii="Open Sans" w:hAnsi="Open Sans"/>
        </w:rPr>
      </w:pPr>
    </w:p>
    <w:p w:rsidR="00BC38C1" w:rsidRDefault="00480A2C" w:rsidP="00BC38C1">
      <w:pPr>
        <w:pStyle w:val="BodyA"/>
        <w:ind w:left="0"/>
        <w:rPr>
          <w:rFonts w:ascii="Open Sans" w:hAnsi="Open Sans"/>
        </w:rPr>
      </w:pPr>
      <w:r w:rsidRPr="00BC38C1">
        <w:rPr>
          <w:rFonts w:ascii="Open Sans" w:hAnsi="Open Sans"/>
          <w:b/>
          <w:bCs/>
        </w:rPr>
        <w:t>R2.14</w:t>
      </w:r>
      <w:r w:rsidRPr="00BC38C1">
        <w:rPr>
          <w:rFonts w:ascii="Open Sans" w:hAnsi="Open Sans"/>
        </w:rPr>
        <w:t xml:space="preserve"> Because Mary Chen</w:t>
      </w:r>
      <w:r>
        <w:rPr>
          <w:rFonts w:ascii="Arial Unicode MS" w:hAnsi="Arial Unicode MS"/>
          <w:rtl/>
          <w:lang w:val="ar-SA"/>
        </w:rPr>
        <w:t>’</w:t>
      </w:r>
      <w:r w:rsidRPr="00BC38C1">
        <w:rPr>
          <w:rFonts w:ascii="Open Sans" w:hAnsi="Open Sans"/>
        </w:rPr>
        <w:t xml:space="preserve">s purchase of Fly </w:t>
      </w:r>
      <w:proofErr w:type="gramStart"/>
      <w:r w:rsidRPr="00BC38C1">
        <w:rPr>
          <w:rFonts w:ascii="Open Sans" w:hAnsi="Open Sans"/>
        </w:rPr>
        <w:t>By</w:t>
      </w:r>
      <w:proofErr w:type="gramEnd"/>
      <w:r w:rsidRPr="00BC38C1">
        <w:rPr>
          <w:rFonts w:ascii="Open Sans" w:hAnsi="Open Sans"/>
        </w:rPr>
        <w:t xml:space="preserve"> Night Airlines shares was in the secondary market the Securities Act of 1934 applies.</w:t>
      </w:r>
      <w:r w:rsidR="00BC38C1">
        <w:rPr>
          <w:rFonts w:ascii="Open Sans" w:hAnsi="Open Sans"/>
        </w:rPr>
        <w:t xml:space="preserve"> </w:t>
      </w:r>
      <w:r w:rsidRPr="00BC38C1">
        <w:rPr>
          <w:rFonts w:ascii="Open Sans" w:hAnsi="Open Sans"/>
        </w:rPr>
        <w:t>As a result, under rule 10b-5 Mary must prove:</w:t>
      </w:r>
    </w:p>
    <w:p w:rsidR="00996BE4" w:rsidRPr="00BC38C1" w:rsidRDefault="00034E24" w:rsidP="00034E24">
      <w:pPr>
        <w:pStyle w:val="ListParagraph"/>
        <w:numPr>
          <w:ilvl w:val="0"/>
          <w:numId w:val="12"/>
        </w:numPr>
        <w:ind w:left="547" w:hanging="547"/>
        <w:rPr>
          <w:rFonts w:ascii="Open Sans" w:hAnsi="Open Sans"/>
        </w:rPr>
      </w:pPr>
      <w:r>
        <w:rPr>
          <w:rFonts w:ascii="Open Sans" w:hAnsi="Open Sans"/>
        </w:rPr>
        <w:tab/>
      </w:r>
      <w:r w:rsidR="00480A2C" w:rsidRPr="00BC38C1">
        <w:rPr>
          <w:rFonts w:ascii="Open Sans" w:hAnsi="Open Sans"/>
        </w:rPr>
        <w:t>The financial statements contain a material, factual misrepresentation or omission,</w:t>
      </w:r>
    </w:p>
    <w:p w:rsidR="00BC38C1" w:rsidRDefault="00034E24" w:rsidP="00034E24">
      <w:pPr>
        <w:pStyle w:val="ListParagraph"/>
        <w:numPr>
          <w:ilvl w:val="0"/>
          <w:numId w:val="12"/>
        </w:numPr>
        <w:ind w:left="547" w:hanging="547"/>
        <w:rPr>
          <w:rFonts w:ascii="Open Sans" w:hAnsi="Open Sans"/>
        </w:rPr>
      </w:pPr>
      <w:r>
        <w:rPr>
          <w:rFonts w:ascii="Open Sans" w:hAnsi="Open Sans"/>
        </w:rPr>
        <w:tab/>
      </w:r>
      <w:r w:rsidR="00480A2C" w:rsidRPr="00BC38C1">
        <w:rPr>
          <w:rFonts w:ascii="Open Sans" w:hAnsi="Open Sans"/>
        </w:rPr>
        <w:t>The plaintiff incurred a loss,</w:t>
      </w:r>
    </w:p>
    <w:p w:rsidR="00BC38C1" w:rsidRDefault="00034E24" w:rsidP="00034E24">
      <w:pPr>
        <w:pStyle w:val="ListParagraph"/>
        <w:numPr>
          <w:ilvl w:val="0"/>
          <w:numId w:val="12"/>
        </w:numPr>
        <w:ind w:left="547" w:hanging="547"/>
        <w:rPr>
          <w:rFonts w:ascii="Open Sans" w:hAnsi="Open Sans"/>
        </w:rPr>
      </w:pPr>
      <w:r>
        <w:rPr>
          <w:rFonts w:ascii="Open Sans" w:hAnsi="Open Sans"/>
        </w:rPr>
        <w:tab/>
      </w:r>
      <w:r w:rsidR="00480A2C" w:rsidRPr="00BC38C1">
        <w:rPr>
          <w:rFonts w:ascii="Open Sans" w:hAnsi="Open Sans"/>
        </w:rPr>
        <w:t>The plaintiff relied on the financial statements,</w:t>
      </w:r>
    </w:p>
    <w:p w:rsidR="00BC38C1" w:rsidRDefault="00034E24" w:rsidP="00034E24">
      <w:pPr>
        <w:pStyle w:val="ListParagraph"/>
        <w:numPr>
          <w:ilvl w:val="0"/>
          <w:numId w:val="12"/>
        </w:numPr>
        <w:ind w:left="547" w:hanging="547"/>
        <w:rPr>
          <w:rFonts w:ascii="Open Sans" w:hAnsi="Open Sans"/>
        </w:rPr>
      </w:pPr>
      <w:r>
        <w:rPr>
          <w:rFonts w:ascii="Open Sans" w:hAnsi="Open Sans"/>
        </w:rPr>
        <w:tab/>
      </w:r>
      <w:r w:rsidR="00480A2C" w:rsidRPr="00BC38C1">
        <w:rPr>
          <w:rFonts w:ascii="Open Sans" w:hAnsi="Open Sans"/>
        </w:rPr>
        <w:t>Damages were suffered as a result of the reliance on the financial statements, and</w:t>
      </w:r>
    </w:p>
    <w:p w:rsidR="00BC38C1" w:rsidRDefault="00034E24" w:rsidP="00034E24">
      <w:pPr>
        <w:pStyle w:val="ListParagraph"/>
        <w:numPr>
          <w:ilvl w:val="0"/>
          <w:numId w:val="12"/>
        </w:numPr>
        <w:ind w:left="547" w:hanging="547"/>
        <w:rPr>
          <w:rFonts w:ascii="Open Sans" w:hAnsi="Open Sans"/>
        </w:rPr>
      </w:pPr>
      <w:r>
        <w:rPr>
          <w:rFonts w:ascii="Open Sans" w:hAnsi="Open Sans"/>
        </w:rPr>
        <w:tab/>
      </w:r>
      <w:proofErr w:type="spellStart"/>
      <w:r w:rsidR="00480A2C" w:rsidRPr="00BC38C1">
        <w:rPr>
          <w:rFonts w:ascii="Open Sans" w:hAnsi="Open Sans"/>
          <w:i/>
          <w:iCs/>
        </w:rPr>
        <w:t>Scienter</w:t>
      </w:r>
      <w:proofErr w:type="spellEnd"/>
      <w:r w:rsidR="00480A2C" w:rsidRPr="00BC38C1">
        <w:rPr>
          <w:rFonts w:ascii="Open Sans" w:hAnsi="Open Sans"/>
          <w:i/>
          <w:iCs/>
        </w:rPr>
        <w:t>,</w:t>
      </w:r>
      <w:r w:rsidR="00480A2C" w:rsidRPr="00BC38C1">
        <w:rPr>
          <w:rFonts w:ascii="Open Sans" w:hAnsi="Open Sans"/>
        </w:rPr>
        <w:t xml:space="preserve"> that the auditor either had actual knowledge of the falsity of the representation, or had a reckless disregard for the truth or falsity of the representation.</w:t>
      </w:r>
    </w:p>
    <w:p w:rsidR="00BC38C1" w:rsidRDefault="00480A2C" w:rsidP="00BC38C1">
      <w:pPr>
        <w:pStyle w:val="BodyA"/>
        <w:ind w:left="0"/>
        <w:rPr>
          <w:rFonts w:ascii="Open Sans" w:hAnsi="Open Sans"/>
          <w:sz w:val="18"/>
          <w:szCs w:val="18"/>
          <w:lang w:val="it-IT"/>
        </w:rPr>
      </w:pPr>
      <w:r w:rsidRPr="00BC38C1">
        <w:rPr>
          <w:rFonts w:ascii="Open Sans" w:hAnsi="Open Sans"/>
          <w:sz w:val="18"/>
          <w:szCs w:val="18"/>
          <w:lang w:val="it-IT"/>
        </w:rPr>
        <w:t>LO 9 BT: A, Difficulty: Moderate, TOT: 15 min., AACSB: None, AICPA: None</w:t>
      </w:r>
    </w:p>
    <w:p w:rsidR="00034E24" w:rsidRPr="00034E24" w:rsidRDefault="00034E24" w:rsidP="00034E24">
      <w:pPr>
        <w:pStyle w:val="ListParagraph"/>
        <w:numPr>
          <w:ilvl w:val="0"/>
          <w:numId w:val="12"/>
        </w:numPr>
        <w:ind w:left="547" w:hanging="547"/>
        <w:rPr>
          <w:rFonts w:ascii="Open Sans" w:hAnsi="Open Sans"/>
        </w:rPr>
      </w:pPr>
      <w:r>
        <w:rPr>
          <w:rFonts w:ascii="Open Sans" w:hAnsi="Open Sans"/>
        </w:rPr>
        <w:br w:type="page"/>
      </w:r>
    </w:p>
    <w:p w:rsidR="00996BE4" w:rsidRDefault="00480A2C" w:rsidP="00034E24">
      <w:pPr>
        <w:pStyle w:val="2Head"/>
        <w:spacing w:after="360"/>
        <w:ind w:left="0"/>
        <w:rPr>
          <w:rFonts w:ascii="Open Sans" w:hAnsi="Open Sans"/>
        </w:rPr>
      </w:pPr>
      <w:r w:rsidRPr="00BC38C1">
        <w:rPr>
          <w:rFonts w:ascii="Open Sans" w:hAnsi="Open Sans"/>
        </w:rPr>
        <w:lastRenderedPageBreak/>
        <w:t>SOLUTIONS TO ANALYSIS PROBLEMS</w:t>
      </w:r>
    </w:p>
    <w:p w:rsidR="00034E24" w:rsidRPr="00034E24" w:rsidRDefault="00034E24" w:rsidP="00034E24">
      <w:pPr>
        <w:pStyle w:val="BodyA"/>
        <w:ind w:left="0"/>
        <w:rPr>
          <w:rFonts w:ascii="Open Sans" w:hAnsi="Open Sans"/>
        </w:rPr>
      </w:pPr>
      <w:r w:rsidRPr="00034E24">
        <w:rPr>
          <w:rFonts w:ascii="Open Sans" w:hAnsi="Open Sans"/>
          <w:b/>
          <w:bCs/>
        </w:rPr>
        <w:t>AP2.1</w:t>
      </w:r>
    </w:p>
    <w:p w:rsidR="002F2CE0" w:rsidRDefault="00034E24" w:rsidP="00034E24">
      <w:pPr>
        <w:pStyle w:val="BodyA"/>
        <w:ind w:left="864" w:hanging="864"/>
        <w:rPr>
          <w:rFonts w:ascii="Open Sans" w:hAnsi="Open Sans"/>
        </w:rPr>
      </w:pPr>
      <w:r w:rsidRPr="00034E24">
        <w:rPr>
          <w:rFonts w:ascii="Open Sans" w:hAnsi="Open Sans"/>
        </w:rPr>
        <w:t>Step 1.</w:t>
      </w:r>
      <w:r>
        <w:rPr>
          <w:rFonts w:ascii="Open Sans" w:hAnsi="Open Sans"/>
        </w:rPr>
        <w:tab/>
      </w:r>
      <w:r w:rsidRPr="00034E24">
        <w:rPr>
          <w:rFonts w:ascii="Open Sans" w:hAnsi="Open Sans"/>
        </w:rPr>
        <w:t>Identify the Threat: This situation regarding substantial doubt may be an Undue Influence threat.</w:t>
      </w:r>
    </w:p>
    <w:p w:rsidR="002F2CE0" w:rsidRDefault="00034E24" w:rsidP="00034E24">
      <w:pPr>
        <w:pStyle w:val="BodyA"/>
        <w:ind w:left="864" w:hanging="864"/>
        <w:rPr>
          <w:rFonts w:ascii="Open Sans" w:hAnsi="Open Sans"/>
        </w:rPr>
      </w:pPr>
      <w:r w:rsidRPr="00034E24">
        <w:rPr>
          <w:rFonts w:ascii="Open Sans" w:hAnsi="Open Sans"/>
        </w:rPr>
        <w:t>Step 2:</w:t>
      </w:r>
      <w:r>
        <w:rPr>
          <w:rFonts w:ascii="Open Sans" w:hAnsi="Open Sans"/>
        </w:rPr>
        <w:tab/>
      </w:r>
      <w:r w:rsidRPr="00034E24">
        <w:rPr>
          <w:rFonts w:ascii="Open Sans" w:hAnsi="Open Sans"/>
        </w:rPr>
        <w:t>Evaluate the Significance of the Threat: The going concern issue appears to be material to the users of the financial statements.</w:t>
      </w:r>
    </w:p>
    <w:p w:rsidR="00034E24" w:rsidRPr="00034E24" w:rsidRDefault="00034E24" w:rsidP="00034E24">
      <w:pPr>
        <w:pStyle w:val="BodyA"/>
        <w:ind w:left="864" w:hanging="864"/>
        <w:rPr>
          <w:rFonts w:ascii="Open Sans" w:hAnsi="Open Sans"/>
        </w:rPr>
      </w:pPr>
      <w:r w:rsidRPr="00034E24">
        <w:rPr>
          <w:rFonts w:ascii="Open Sans" w:hAnsi="Open Sans"/>
        </w:rPr>
        <w:t>Step 3:</w:t>
      </w:r>
      <w:r>
        <w:rPr>
          <w:rFonts w:ascii="Open Sans" w:hAnsi="Open Sans"/>
        </w:rPr>
        <w:tab/>
      </w:r>
      <w:r w:rsidRPr="00034E24">
        <w:rPr>
          <w:rFonts w:ascii="Open Sans" w:hAnsi="Open Sans"/>
        </w:rPr>
        <w:t>Identify and Apply Safeguards:</w:t>
      </w:r>
      <w:r w:rsidR="002F2CE0">
        <w:rPr>
          <w:rFonts w:ascii="Open Sans" w:hAnsi="Open Sans"/>
        </w:rPr>
        <w:t xml:space="preserve"> </w:t>
      </w:r>
      <w:r w:rsidRPr="00034E24">
        <w:rPr>
          <w:rFonts w:ascii="Open Sans" w:hAnsi="Open Sans"/>
        </w:rPr>
        <w:t>An audit firm must make its own independent judgment and not be swayed by the opinion of a former member of the CPA firm.</w:t>
      </w:r>
      <w:r w:rsidR="002F2CE0">
        <w:rPr>
          <w:rFonts w:ascii="Open Sans" w:hAnsi="Open Sans"/>
        </w:rPr>
        <w:t xml:space="preserve"> </w:t>
      </w:r>
      <w:r w:rsidRPr="00034E24">
        <w:rPr>
          <w:rFonts w:ascii="Open Sans" w:hAnsi="Open Sans"/>
        </w:rPr>
        <w:t>The CPA firm should not subordinate judgment but instead the firm should act with integrity and objectivity.</w:t>
      </w:r>
      <w:r w:rsidR="002F2CE0">
        <w:rPr>
          <w:rFonts w:ascii="Open Sans" w:hAnsi="Open Sans"/>
        </w:rPr>
        <w:t xml:space="preserve"> </w:t>
      </w:r>
      <w:r w:rsidRPr="00034E24">
        <w:rPr>
          <w:rFonts w:ascii="Open Sans" w:hAnsi="Open Sans"/>
        </w:rPr>
        <w:t>An Engagement Quality Central Reviewer (EQCR) should review the basis for a judgment about a "going concern" opinion, or a second partner review should be conducted, or a review should be completed by some other CPA who does not work at the CPA firm (in the case of a sole practitioner).</w:t>
      </w:r>
    </w:p>
    <w:p w:rsidR="00034E24" w:rsidRPr="00034E24" w:rsidRDefault="00034E24" w:rsidP="00034E24">
      <w:pPr>
        <w:pStyle w:val="BodyA"/>
        <w:ind w:left="864" w:hanging="864"/>
        <w:rPr>
          <w:rFonts w:ascii="Open Sans" w:hAnsi="Open Sans"/>
        </w:rPr>
      </w:pPr>
      <w:r w:rsidRPr="00034E24">
        <w:rPr>
          <w:rFonts w:ascii="Open Sans" w:hAnsi="Open Sans"/>
        </w:rPr>
        <w:t>Step 4:</w:t>
      </w:r>
      <w:r w:rsidR="002F2CE0">
        <w:rPr>
          <w:rFonts w:ascii="Open Sans" w:hAnsi="Open Sans"/>
        </w:rPr>
        <w:tab/>
      </w:r>
      <w:r w:rsidRPr="00034E24">
        <w:rPr>
          <w:rFonts w:ascii="Open Sans" w:hAnsi="Open Sans"/>
        </w:rPr>
        <w:t>Evaluate the Effectiveness of the Safeguards:</w:t>
      </w:r>
      <w:r w:rsidR="002F2CE0">
        <w:rPr>
          <w:rFonts w:ascii="Open Sans" w:hAnsi="Open Sans"/>
        </w:rPr>
        <w:t xml:space="preserve"> </w:t>
      </w:r>
      <w:r w:rsidRPr="00034E24">
        <w:rPr>
          <w:rFonts w:ascii="Open Sans" w:hAnsi="Open Sans"/>
        </w:rPr>
        <w:t xml:space="preserve">If the firm acts in a way that it forms its own independent </w:t>
      </w:r>
      <w:proofErr w:type="spellStart"/>
      <w:r w:rsidRPr="00034E24">
        <w:rPr>
          <w:rFonts w:ascii="Open Sans" w:hAnsi="Open Sans"/>
        </w:rPr>
        <w:t>judgements</w:t>
      </w:r>
      <w:proofErr w:type="spellEnd"/>
      <w:r w:rsidRPr="00034E24">
        <w:rPr>
          <w:rFonts w:ascii="Open Sans" w:hAnsi="Open Sans"/>
        </w:rPr>
        <w:t xml:space="preserve"> about the going concern issue, the safeguards are effective.</w:t>
      </w:r>
    </w:p>
    <w:p w:rsidR="002F2CE0" w:rsidRDefault="00034E24" w:rsidP="00034E24">
      <w:pPr>
        <w:pStyle w:val="BodyA"/>
        <w:ind w:left="864" w:hanging="864"/>
        <w:rPr>
          <w:rFonts w:ascii="Open Sans" w:hAnsi="Open Sans"/>
        </w:rPr>
      </w:pPr>
      <w:r w:rsidRPr="00034E24">
        <w:rPr>
          <w:rFonts w:ascii="Open Sans" w:hAnsi="Open Sans"/>
        </w:rPr>
        <w:t>Step 5:</w:t>
      </w:r>
      <w:r w:rsidR="002F2CE0">
        <w:rPr>
          <w:rFonts w:ascii="Open Sans" w:hAnsi="Open Sans"/>
        </w:rPr>
        <w:tab/>
      </w:r>
      <w:r w:rsidRPr="00034E24">
        <w:rPr>
          <w:rFonts w:ascii="Open Sans" w:hAnsi="Open Sans"/>
        </w:rPr>
        <w:t>Document Threats and Safeguards Applied.</w:t>
      </w:r>
      <w:r w:rsidR="002F2CE0">
        <w:rPr>
          <w:rFonts w:ascii="Open Sans" w:hAnsi="Open Sans"/>
        </w:rPr>
        <w:t xml:space="preserve"> </w:t>
      </w:r>
      <w:r w:rsidRPr="00034E24">
        <w:rPr>
          <w:rFonts w:ascii="Open Sans" w:hAnsi="Open Sans"/>
        </w:rPr>
        <w:t>The firm needs</w:t>
      </w:r>
      <w:r w:rsidRPr="00034E24">
        <w:rPr>
          <w:rFonts w:ascii="Open Sans" w:hAnsi="Open Sans"/>
          <w:color w:val="FF0000"/>
          <w:u w:color="FF0000"/>
        </w:rPr>
        <w:t xml:space="preserve"> </w:t>
      </w:r>
      <w:r w:rsidRPr="00034E24">
        <w:rPr>
          <w:rFonts w:ascii="Open Sans" w:hAnsi="Open Sans"/>
        </w:rPr>
        <w:t>to document the discussion above in its working papers.</w:t>
      </w:r>
    </w:p>
    <w:p w:rsidR="002F2CE0" w:rsidRDefault="00034E24" w:rsidP="00034E24">
      <w:pPr>
        <w:pStyle w:val="BodyA"/>
        <w:ind w:left="0"/>
        <w:rPr>
          <w:rFonts w:ascii="Open Sans" w:hAnsi="Open Sans"/>
          <w:sz w:val="18"/>
          <w:szCs w:val="18"/>
        </w:rPr>
      </w:pPr>
      <w:r w:rsidRPr="00034E24">
        <w:rPr>
          <w:rFonts w:ascii="Open Sans" w:hAnsi="Open Sans"/>
          <w:sz w:val="18"/>
          <w:szCs w:val="18"/>
        </w:rPr>
        <w:t>LO 2</w:t>
      </w:r>
      <w:proofErr w:type="gramStart"/>
      <w:r w:rsidRPr="00034E24">
        <w:rPr>
          <w:rFonts w:ascii="Open Sans" w:hAnsi="Open Sans"/>
          <w:sz w:val="18"/>
          <w:szCs w:val="18"/>
        </w:rPr>
        <w:t>,3</w:t>
      </w:r>
      <w:proofErr w:type="gramEnd"/>
      <w:r w:rsidRPr="00034E24">
        <w:rPr>
          <w:rFonts w:ascii="Open Sans" w:hAnsi="Open Sans"/>
          <w:sz w:val="18"/>
          <w:szCs w:val="18"/>
        </w:rPr>
        <w:t>. BT: AP Difficulty: Basic, TOT: 15 min., AACSB: Ethics, AICPA PC: Ethics</w:t>
      </w:r>
    </w:p>
    <w:p w:rsidR="00034E24" w:rsidRPr="00034E24" w:rsidRDefault="00034E24" w:rsidP="00034E24">
      <w:pPr>
        <w:pStyle w:val="BodyA"/>
        <w:ind w:left="0"/>
        <w:rPr>
          <w:rFonts w:ascii="Open Sans" w:hAnsi="Open Sans"/>
        </w:rPr>
      </w:pPr>
    </w:p>
    <w:p w:rsidR="002F2CE0" w:rsidRDefault="00034E24" w:rsidP="00034E24">
      <w:pPr>
        <w:pStyle w:val="BodyA"/>
        <w:ind w:left="0"/>
        <w:rPr>
          <w:rFonts w:ascii="Open Sans" w:hAnsi="Open Sans"/>
        </w:rPr>
      </w:pPr>
      <w:r w:rsidRPr="00034E24">
        <w:rPr>
          <w:rFonts w:ascii="Open Sans" w:hAnsi="Open Sans"/>
          <w:b/>
          <w:bCs/>
        </w:rPr>
        <w:t>AP2.2</w:t>
      </w:r>
    </w:p>
    <w:p w:rsidR="00034E24" w:rsidRPr="00034E24" w:rsidRDefault="00034E24" w:rsidP="004A6B78">
      <w:pPr>
        <w:pStyle w:val="ListParagraph"/>
        <w:numPr>
          <w:ilvl w:val="0"/>
          <w:numId w:val="30"/>
        </w:numPr>
        <w:ind w:left="547" w:hanging="547"/>
        <w:rPr>
          <w:rFonts w:ascii="Open Sans" w:hAnsi="Open Sans"/>
        </w:rPr>
      </w:pPr>
      <w:r w:rsidRPr="00034E24">
        <w:rPr>
          <w:rFonts w:ascii="Open Sans" w:hAnsi="Open Sans"/>
        </w:rPr>
        <w:t>Independence involves both Independence in Fact (A CPA should be independent from the client in terms of state of mind and acting with integrity and objectivity) and Independence in Appearance (A CPA should not have a direct investment in an audit client, or another financial interest that would appear to a reasonable third party to impair independence).</w:t>
      </w:r>
    </w:p>
    <w:p w:rsidR="00034E24" w:rsidRPr="00034E24" w:rsidRDefault="00034E24" w:rsidP="00034E24">
      <w:pPr>
        <w:pStyle w:val="BodyA"/>
        <w:ind w:left="0"/>
        <w:rPr>
          <w:rFonts w:ascii="Open Sans" w:hAnsi="Open Sans"/>
        </w:rPr>
      </w:pPr>
    </w:p>
    <w:p w:rsidR="00034E24" w:rsidRPr="00034E24" w:rsidRDefault="00034E24" w:rsidP="004A6B78">
      <w:pPr>
        <w:pStyle w:val="ListParagraph"/>
        <w:numPr>
          <w:ilvl w:val="0"/>
          <w:numId w:val="30"/>
        </w:numPr>
        <w:ind w:left="547" w:hanging="547"/>
        <w:rPr>
          <w:rFonts w:ascii="Open Sans" w:hAnsi="Open Sans"/>
        </w:rPr>
      </w:pPr>
      <w:r w:rsidRPr="00034E24">
        <w:rPr>
          <w:rFonts w:ascii="Open Sans" w:hAnsi="Open Sans"/>
        </w:rPr>
        <w:t>Carrying a note or an account receivable for audit fees that are past due creates a self-interest threat and impairs the firm’s independence.</w:t>
      </w:r>
      <w:r w:rsidR="002F2CE0">
        <w:rPr>
          <w:rFonts w:ascii="Open Sans" w:hAnsi="Open Sans"/>
        </w:rPr>
        <w:t xml:space="preserve"> </w:t>
      </w:r>
      <w:r w:rsidRPr="00034E24">
        <w:rPr>
          <w:rFonts w:ascii="Open Sans" w:hAnsi="Open Sans"/>
        </w:rPr>
        <w:t>(ET 1.230.010)</w:t>
      </w:r>
    </w:p>
    <w:p w:rsidR="00034E24" w:rsidRPr="00034E24" w:rsidRDefault="00034E24" w:rsidP="00034E24">
      <w:pPr>
        <w:pStyle w:val="BodyA"/>
        <w:ind w:left="0"/>
        <w:rPr>
          <w:rFonts w:ascii="Open Sans" w:hAnsi="Open Sans"/>
        </w:rPr>
      </w:pPr>
    </w:p>
    <w:p w:rsidR="00034E24" w:rsidRPr="00034E24" w:rsidRDefault="00034E24" w:rsidP="004A6B78">
      <w:pPr>
        <w:pStyle w:val="ListParagraph"/>
        <w:numPr>
          <w:ilvl w:val="0"/>
          <w:numId w:val="30"/>
        </w:numPr>
        <w:ind w:left="547" w:hanging="547"/>
        <w:rPr>
          <w:rFonts w:ascii="Open Sans" w:hAnsi="Open Sans"/>
        </w:rPr>
      </w:pPr>
      <w:r w:rsidRPr="00034E24">
        <w:rPr>
          <w:rFonts w:ascii="Open Sans" w:hAnsi="Open Sans"/>
        </w:rPr>
        <w:t>Independence is impaired.</w:t>
      </w:r>
      <w:r w:rsidR="002F2CE0">
        <w:rPr>
          <w:rFonts w:ascii="Open Sans" w:hAnsi="Open Sans"/>
        </w:rPr>
        <w:t xml:space="preserve"> </w:t>
      </w:r>
      <w:r w:rsidRPr="00034E24">
        <w:rPr>
          <w:rFonts w:ascii="Open Sans" w:hAnsi="Open Sans"/>
        </w:rPr>
        <w:t>The CPA cannot be an officer of the company during the period under audit.</w:t>
      </w:r>
      <w:r w:rsidR="002F2CE0">
        <w:rPr>
          <w:rFonts w:ascii="Open Sans" w:hAnsi="Open Sans"/>
        </w:rPr>
        <w:t xml:space="preserve"> </w:t>
      </w:r>
      <w:r w:rsidRPr="00034E24">
        <w:rPr>
          <w:rFonts w:ascii="Open Sans" w:hAnsi="Open Sans"/>
        </w:rPr>
        <w:t xml:space="preserve">In both situations </w:t>
      </w:r>
      <w:proofErr w:type="gramStart"/>
      <w:r w:rsidRPr="00034E24">
        <w:rPr>
          <w:rFonts w:ascii="Open Sans" w:hAnsi="Open Sans"/>
        </w:rPr>
        <w:t>(1) or</w:t>
      </w:r>
      <w:proofErr w:type="gramEnd"/>
      <w:r w:rsidRPr="00034E24">
        <w:rPr>
          <w:rFonts w:ascii="Open Sans" w:hAnsi="Open Sans"/>
        </w:rPr>
        <w:t xml:space="preserve"> (2), the CPA is an officer of the </w:t>
      </w:r>
      <w:proofErr w:type="spellStart"/>
      <w:r w:rsidRPr="00034E24">
        <w:rPr>
          <w:rFonts w:ascii="Open Sans" w:hAnsi="Open Sans"/>
        </w:rPr>
        <w:t>companyduring</w:t>
      </w:r>
      <w:proofErr w:type="spellEnd"/>
      <w:r w:rsidRPr="00034E24">
        <w:rPr>
          <w:rFonts w:ascii="Open Sans" w:hAnsi="Open Sans"/>
        </w:rPr>
        <w:t xml:space="preserve"> the period of professional engagement which begins when the engagement letter is signed or the beginning of the year under audit, whichever comes first; and ends when the audit report is signed.</w:t>
      </w:r>
      <w:r w:rsidR="002F2CE0">
        <w:rPr>
          <w:rFonts w:ascii="Open Sans" w:hAnsi="Open Sans"/>
        </w:rPr>
        <w:t xml:space="preserve"> </w:t>
      </w:r>
      <w:r w:rsidRPr="00034E24">
        <w:rPr>
          <w:rFonts w:ascii="Open Sans" w:hAnsi="Open Sans"/>
        </w:rPr>
        <w:t>Because the firm is not independent, it must resign the audit and not issue an audit opinion on the financial statements.</w:t>
      </w:r>
    </w:p>
    <w:p w:rsidR="002F2CE0" w:rsidRDefault="00034E24" w:rsidP="00034E24">
      <w:pPr>
        <w:pStyle w:val="BodyA"/>
        <w:ind w:left="0"/>
        <w:rPr>
          <w:rFonts w:ascii="Open Sans" w:hAnsi="Open Sans"/>
          <w:sz w:val="18"/>
          <w:szCs w:val="18"/>
        </w:rPr>
      </w:pPr>
      <w:r w:rsidRPr="00034E24">
        <w:rPr>
          <w:rFonts w:ascii="Open Sans" w:hAnsi="Open Sans"/>
          <w:sz w:val="18"/>
          <w:szCs w:val="18"/>
        </w:rPr>
        <w:t>LO5. BT: AP, Difficulty: Moderate, TOT: 20 min., AACSB: Ethics, AICPA PC: Ethics</w:t>
      </w:r>
    </w:p>
    <w:p w:rsidR="00034E24" w:rsidRPr="00034E24" w:rsidRDefault="00034E24" w:rsidP="00034E24">
      <w:pPr>
        <w:pStyle w:val="BodyA"/>
        <w:ind w:left="0"/>
        <w:rPr>
          <w:rFonts w:ascii="Open Sans" w:hAnsi="Open Sans"/>
        </w:rPr>
      </w:pPr>
    </w:p>
    <w:p w:rsidR="002F2CE0" w:rsidRDefault="002F2CE0">
      <w:pPr>
        <w:rPr>
          <w:rFonts w:ascii="Open Sans" w:hAnsi="Open Sans" w:cs="Arial Unicode MS"/>
          <w:b/>
          <w:bCs/>
          <w:color w:val="000000"/>
          <w:sz w:val="22"/>
          <w:szCs w:val="22"/>
          <w:u w:color="000000"/>
          <w14:textOutline w14:w="12700" w14:cap="flat" w14:cmpd="sng" w14:algn="ctr">
            <w14:noFill/>
            <w14:prstDash w14:val="solid"/>
            <w14:miter w14:lim="400000"/>
          </w14:textOutline>
        </w:rPr>
      </w:pPr>
      <w:r>
        <w:rPr>
          <w:rFonts w:ascii="Open Sans" w:hAnsi="Open Sans"/>
          <w:b/>
          <w:bCs/>
        </w:rPr>
        <w:br w:type="page"/>
      </w:r>
    </w:p>
    <w:p w:rsidR="00034E24" w:rsidRPr="00034E24" w:rsidRDefault="00034E24" w:rsidP="00034E24">
      <w:pPr>
        <w:pStyle w:val="BodyA"/>
        <w:ind w:left="0"/>
        <w:rPr>
          <w:rFonts w:ascii="Open Sans" w:hAnsi="Open Sans"/>
        </w:rPr>
      </w:pPr>
      <w:r w:rsidRPr="00034E24">
        <w:rPr>
          <w:rFonts w:ascii="Open Sans" w:hAnsi="Open Sans"/>
          <w:b/>
          <w:bCs/>
        </w:rPr>
        <w:lastRenderedPageBreak/>
        <w:t>AP2.3</w:t>
      </w:r>
    </w:p>
    <w:p w:rsidR="00034E24" w:rsidRPr="00034E24" w:rsidRDefault="00034E24" w:rsidP="002F2CE0">
      <w:pPr>
        <w:pStyle w:val="BodyA"/>
        <w:tabs>
          <w:tab w:val="clear" w:pos="540"/>
        </w:tabs>
        <w:ind w:left="547" w:hanging="547"/>
        <w:rPr>
          <w:rFonts w:ascii="Open Sans" w:hAnsi="Open Sans"/>
          <w:lang w:val="it-IT"/>
        </w:rPr>
      </w:pPr>
      <w:r w:rsidRPr="00034E24">
        <w:rPr>
          <w:rFonts w:ascii="Open Sans" w:hAnsi="Open Sans"/>
          <w:lang w:val="it-IT"/>
        </w:rPr>
        <w:t>a.</w:t>
      </w:r>
      <w:r w:rsidRPr="00034E24">
        <w:rPr>
          <w:rFonts w:ascii="Open Sans" w:hAnsi="Open Sans"/>
          <w:lang w:val="it-IT"/>
        </w:rPr>
        <w:tab/>
        <w:t>Under AICPA rules (ET 1.295) CPAs may perform bookkeeping and accounting services and remain independent if the following four conditions are met:</w:t>
      </w:r>
    </w:p>
    <w:p w:rsidR="00034E24" w:rsidRPr="00034E24" w:rsidRDefault="00034E24" w:rsidP="00034E24">
      <w:pPr>
        <w:pStyle w:val="BodyA"/>
        <w:tabs>
          <w:tab w:val="clear" w:pos="540"/>
          <w:tab w:val="left" w:pos="720"/>
        </w:tabs>
        <w:rPr>
          <w:rFonts w:ascii="Open Sans" w:hAnsi="Open Sans"/>
        </w:rPr>
      </w:pPr>
    </w:p>
    <w:p w:rsidR="00034E24" w:rsidRPr="00034E24" w:rsidRDefault="00034E24" w:rsidP="004A6B78">
      <w:pPr>
        <w:pStyle w:val="ListParagraph"/>
        <w:numPr>
          <w:ilvl w:val="0"/>
          <w:numId w:val="31"/>
        </w:numPr>
        <w:tabs>
          <w:tab w:val="clear" w:pos="540"/>
          <w:tab w:val="clear" w:pos="720"/>
        </w:tabs>
        <w:ind w:left="1094" w:hanging="547"/>
        <w:rPr>
          <w:rFonts w:ascii="Open Sans" w:hAnsi="Open Sans"/>
        </w:rPr>
      </w:pPr>
      <w:r w:rsidRPr="00034E24">
        <w:rPr>
          <w:rFonts w:ascii="Open Sans" w:hAnsi="Open Sans"/>
        </w:rPr>
        <w:t>The CPA must not have any other relationships, such as a financial interest that would impair his or her independence.</w:t>
      </w:r>
    </w:p>
    <w:p w:rsidR="00034E24" w:rsidRPr="00034E24" w:rsidRDefault="00034E24" w:rsidP="004A6B78">
      <w:pPr>
        <w:pStyle w:val="ListParagraph"/>
        <w:numPr>
          <w:ilvl w:val="0"/>
          <w:numId w:val="31"/>
        </w:numPr>
        <w:tabs>
          <w:tab w:val="clear" w:pos="540"/>
          <w:tab w:val="clear" w:pos="720"/>
        </w:tabs>
        <w:ind w:left="1094" w:hanging="547"/>
        <w:rPr>
          <w:rFonts w:ascii="Open Sans" w:hAnsi="Open Sans"/>
        </w:rPr>
      </w:pPr>
      <w:r w:rsidRPr="00034E24">
        <w:rPr>
          <w:rFonts w:ascii="Open Sans" w:hAnsi="Open Sans"/>
        </w:rPr>
        <w:t xml:space="preserve">The </w:t>
      </w:r>
      <w:r w:rsidRPr="002F2CE0">
        <w:rPr>
          <w:rFonts w:ascii="Open Sans" w:hAnsi="Open Sans"/>
        </w:rPr>
        <w:t>client</w:t>
      </w:r>
      <w:r w:rsidRPr="00034E24">
        <w:rPr>
          <w:rFonts w:ascii="Open Sans" w:hAnsi="Open Sans"/>
        </w:rPr>
        <w:t xml:space="preserve"> must accept full responsibility for the financial statements.</w:t>
      </w:r>
    </w:p>
    <w:p w:rsidR="00034E24" w:rsidRPr="00034E24" w:rsidRDefault="00034E24" w:rsidP="004A6B78">
      <w:pPr>
        <w:pStyle w:val="ListParagraph"/>
        <w:numPr>
          <w:ilvl w:val="0"/>
          <w:numId w:val="31"/>
        </w:numPr>
        <w:tabs>
          <w:tab w:val="clear" w:pos="540"/>
          <w:tab w:val="clear" w:pos="720"/>
        </w:tabs>
        <w:ind w:left="1094" w:hanging="547"/>
        <w:rPr>
          <w:rFonts w:ascii="Open Sans" w:hAnsi="Open Sans"/>
        </w:rPr>
      </w:pPr>
      <w:r w:rsidRPr="00034E24">
        <w:rPr>
          <w:rFonts w:ascii="Open Sans" w:hAnsi="Open Sans"/>
        </w:rPr>
        <w:t>The CPA must not assume the role either of an employee or management in the client’s operations (e.g., the CPA should not initiate transactions or sign checks).</w:t>
      </w:r>
    </w:p>
    <w:p w:rsidR="00034E24" w:rsidRPr="00034E24" w:rsidRDefault="00034E24" w:rsidP="004A6B78">
      <w:pPr>
        <w:pStyle w:val="ListParagraph"/>
        <w:numPr>
          <w:ilvl w:val="0"/>
          <w:numId w:val="31"/>
        </w:numPr>
        <w:tabs>
          <w:tab w:val="clear" w:pos="540"/>
          <w:tab w:val="clear" w:pos="720"/>
        </w:tabs>
        <w:ind w:left="1094" w:hanging="547"/>
        <w:rPr>
          <w:rFonts w:ascii="Open Sans" w:hAnsi="Open Sans"/>
        </w:rPr>
      </w:pPr>
      <w:r w:rsidRPr="00034E24">
        <w:rPr>
          <w:rFonts w:ascii="Open Sans" w:hAnsi="Open Sans"/>
        </w:rPr>
        <w:t>The CPA must conform to professional standards in performing the attest engagement.</w:t>
      </w:r>
    </w:p>
    <w:p w:rsidR="00034E24" w:rsidRPr="00034E24" w:rsidRDefault="00034E24" w:rsidP="00034E24">
      <w:pPr>
        <w:pStyle w:val="BodyA"/>
        <w:rPr>
          <w:rFonts w:ascii="Open Sans" w:hAnsi="Open Sans"/>
        </w:rPr>
      </w:pPr>
    </w:p>
    <w:p w:rsidR="00034E24" w:rsidRPr="00034E24" w:rsidRDefault="00034E24" w:rsidP="002F2CE0">
      <w:pPr>
        <w:pStyle w:val="BodyA"/>
        <w:tabs>
          <w:tab w:val="clear" w:pos="540"/>
        </w:tabs>
        <w:ind w:left="547" w:hanging="547"/>
        <w:rPr>
          <w:rFonts w:ascii="Open Sans" w:hAnsi="Open Sans"/>
        </w:rPr>
      </w:pPr>
      <w:r w:rsidRPr="00034E24">
        <w:rPr>
          <w:rFonts w:ascii="Open Sans" w:hAnsi="Open Sans"/>
        </w:rPr>
        <w:t>b.</w:t>
      </w:r>
      <w:r w:rsidRPr="00034E24">
        <w:rPr>
          <w:rFonts w:ascii="Open Sans" w:hAnsi="Open Sans"/>
        </w:rPr>
        <w:tab/>
        <w:t>If WTI is a public company, the SEC rules prohibit CPAs from performing bookkeeping and</w:t>
      </w:r>
      <w:r w:rsidR="002F2CE0">
        <w:rPr>
          <w:rFonts w:ascii="Open Sans" w:hAnsi="Open Sans"/>
        </w:rPr>
        <w:t xml:space="preserve"> </w:t>
      </w:r>
      <w:r w:rsidRPr="00034E24">
        <w:rPr>
          <w:rFonts w:ascii="Open Sans" w:hAnsi="Open Sans"/>
        </w:rPr>
        <w:t>accounting services for SEC registrants.</w:t>
      </w:r>
      <w:r w:rsidR="002F2CE0">
        <w:rPr>
          <w:rFonts w:ascii="Open Sans" w:hAnsi="Open Sans"/>
        </w:rPr>
        <w:t xml:space="preserve"> </w:t>
      </w:r>
      <w:r w:rsidRPr="00034E24">
        <w:rPr>
          <w:rFonts w:ascii="Open Sans" w:hAnsi="Open Sans"/>
        </w:rPr>
        <w:t>The Jones and Jones firm is not independent if WTI is a public company.</w:t>
      </w:r>
      <w:r w:rsidR="002F2CE0">
        <w:rPr>
          <w:rFonts w:ascii="Open Sans" w:hAnsi="Open Sans"/>
        </w:rPr>
        <w:t xml:space="preserve"> </w:t>
      </w:r>
      <w:r w:rsidRPr="00034E24">
        <w:rPr>
          <w:rFonts w:ascii="Open Sans" w:hAnsi="Open Sans"/>
        </w:rPr>
        <w:t>The client (WTI) must prepare its own financial statements.</w:t>
      </w:r>
    </w:p>
    <w:p w:rsidR="00034E24" w:rsidRPr="00034E24" w:rsidRDefault="00034E24" w:rsidP="00034E24">
      <w:pPr>
        <w:pStyle w:val="BodyA"/>
        <w:ind w:left="0"/>
        <w:rPr>
          <w:rFonts w:ascii="Open Sans" w:hAnsi="Open Sans"/>
        </w:rPr>
      </w:pPr>
    </w:p>
    <w:p w:rsidR="00034E24" w:rsidRPr="00034E24" w:rsidRDefault="00034E24" w:rsidP="002F2CE0">
      <w:pPr>
        <w:pStyle w:val="BodyA"/>
        <w:tabs>
          <w:tab w:val="clear" w:pos="540"/>
        </w:tabs>
        <w:ind w:left="547" w:hanging="547"/>
        <w:rPr>
          <w:rFonts w:ascii="Open Sans" w:hAnsi="Open Sans"/>
        </w:rPr>
      </w:pPr>
      <w:r w:rsidRPr="00034E24">
        <w:rPr>
          <w:rFonts w:ascii="Open Sans" w:hAnsi="Open Sans"/>
        </w:rPr>
        <w:t>c.</w:t>
      </w:r>
      <w:r w:rsidRPr="00034E24">
        <w:rPr>
          <w:rFonts w:ascii="Open Sans" w:hAnsi="Open Sans"/>
        </w:rPr>
        <w:tab/>
        <w:t>Under AICPA rules, Jones and Jones can perform business valuation services and consulting services for non-public companies.</w:t>
      </w:r>
      <w:r w:rsidR="002F2CE0">
        <w:rPr>
          <w:rFonts w:ascii="Open Sans" w:hAnsi="Open Sans"/>
        </w:rPr>
        <w:t xml:space="preserve"> </w:t>
      </w:r>
      <w:r w:rsidRPr="00034E24">
        <w:rPr>
          <w:rFonts w:ascii="Open Sans" w:hAnsi="Open Sans"/>
        </w:rPr>
        <w:t>These client services are acceptable for a private company so long as the CPA is not involved in implementing his or her advice.</w:t>
      </w:r>
      <w:r w:rsidR="002F2CE0">
        <w:rPr>
          <w:rFonts w:ascii="Open Sans" w:hAnsi="Open Sans"/>
        </w:rPr>
        <w:t xml:space="preserve"> </w:t>
      </w:r>
      <w:r w:rsidRPr="00034E24">
        <w:rPr>
          <w:rFonts w:ascii="Open Sans" w:hAnsi="Open Sans"/>
        </w:rPr>
        <w:t xml:space="preserve">If the Jones and Jones firm is to remain independent, they must </w:t>
      </w:r>
      <w:r w:rsidRPr="00034E24">
        <w:rPr>
          <w:rFonts w:ascii="Open Sans" w:hAnsi="Open Sans"/>
          <w:u w:val="single"/>
        </w:rPr>
        <w:t>not</w:t>
      </w:r>
      <w:r w:rsidRPr="00034E24">
        <w:rPr>
          <w:rFonts w:ascii="Open Sans" w:hAnsi="Open Sans"/>
        </w:rPr>
        <w:t xml:space="preserve"> assume management responsibility and the client must take full responsibility for key assumptions and any final decisions based on a consulting engagement.</w:t>
      </w:r>
      <w:r w:rsidR="002F2CE0">
        <w:rPr>
          <w:rFonts w:ascii="Open Sans" w:hAnsi="Open Sans"/>
        </w:rPr>
        <w:t xml:space="preserve"> </w:t>
      </w:r>
      <w:r w:rsidRPr="00034E24">
        <w:rPr>
          <w:rFonts w:ascii="Open Sans" w:hAnsi="Open Sans"/>
        </w:rPr>
        <w:t>Jones and Jones must act strictly in an advisory capacity.</w:t>
      </w:r>
    </w:p>
    <w:p w:rsidR="00034E24" w:rsidRPr="00034E24" w:rsidRDefault="00034E24" w:rsidP="00034E24">
      <w:pPr>
        <w:pStyle w:val="BodyA"/>
        <w:ind w:left="0"/>
        <w:rPr>
          <w:rFonts w:ascii="Open Sans" w:hAnsi="Open Sans"/>
        </w:rPr>
      </w:pPr>
    </w:p>
    <w:p w:rsidR="00034E24" w:rsidRPr="00034E24" w:rsidRDefault="00034E24" w:rsidP="002F2CE0">
      <w:pPr>
        <w:pStyle w:val="BodyA"/>
        <w:tabs>
          <w:tab w:val="clear" w:pos="540"/>
        </w:tabs>
        <w:ind w:left="547" w:hanging="547"/>
        <w:rPr>
          <w:rFonts w:ascii="Open Sans" w:hAnsi="Open Sans"/>
        </w:rPr>
      </w:pPr>
      <w:r w:rsidRPr="00034E24">
        <w:rPr>
          <w:rFonts w:ascii="Open Sans" w:hAnsi="Open Sans"/>
        </w:rPr>
        <w:t>d.</w:t>
      </w:r>
      <w:r w:rsidR="002F2CE0">
        <w:rPr>
          <w:rFonts w:ascii="Open Sans" w:hAnsi="Open Sans"/>
        </w:rPr>
        <w:tab/>
      </w:r>
      <w:r w:rsidRPr="00034E24">
        <w:rPr>
          <w:rFonts w:ascii="Open Sans" w:hAnsi="Open Sans"/>
        </w:rPr>
        <w:t>Under the SEC rules, CPAs are prohibited from performing appraisal or valuation services, providing fairness opinions, or contribution-in-kind reports for SEC audit clients.</w:t>
      </w:r>
      <w:r w:rsidR="002F2CE0">
        <w:rPr>
          <w:rFonts w:ascii="Open Sans" w:hAnsi="Open Sans"/>
        </w:rPr>
        <w:t xml:space="preserve"> </w:t>
      </w:r>
      <w:r w:rsidRPr="00034E24">
        <w:rPr>
          <w:rFonts w:ascii="Open Sans" w:hAnsi="Open Sans"/>
        </w:rPr>
        <w:t>Valuation services are not acceptable for a CPA to perform for a public company.</w:t>
      </w:r>
      <w:r w:rsidR="002F2CE0">
        <w:rPr>
          <w:rFonts w:ascii="Open Sans" w:hAnsi="Open Sans"/>
        </w:rPr>
        <w:t xml:space="preserve"> </w:t>
      </w:r>
      <w:r w:rsidRPr="00034E24">
        <w:rPr>
          <w:rFonts w:ascii="Open Sans" w:hAnsi="Open Sans"/>
        </w:rPr>
        <w:t>This prohibited service is listed on page 2-21.</w:t>
      </w:r>
    </w:p>
    <w:p w:rsidR="002F2CE0" w:rsidRDefault="00034E24" w:rsidP="00034E24">
      <w:pPr>
        <w:pStyle w:val="BodyA"/>
        <w:ind w:left="0"/>
        <w:rPr>
          <w:rFonts w:ascii="Open Sans" w:hAnsi="Open Sans"/>
          <w:sz w:val="18"/>
          <w:szCs w:val="18"/>
        </w:rPr>
      </w:pPr>
      <w:r w:rsidRPr="00034E24">
        <w:rPr>
          <w:rFonts w:ascii="Open Sans" w:hAnsi="Open Sans"/>
          <w:sz w:val="18"/>
          <w:szCs w:val="18"/>
        </w:rPr>
        <w:t>LO 5. BT: AP, Difficulty: Challenging, TOT: 30 min., AACSB: Ethics, AICPA PC: Ethics</w:t>
      </w:r>
    </w:p>
    <w:p w:rsidR="00034E24" w:rsidRPr="00034E24" w:rsidRDefault="00034E24" w:rsidP="00034E24">
      <w:pPr>
        <w:pStyle w:val="BodyA"/>
        <w:ind w:left="0"/>
        <w:rPr>
          <w:rFonts w:ascii="Open Sans" w:hAnsi="Open Sans"/>
        </w:rPr>
      </w:pPr>
    </w:p>
    <w:p w:rsidR="00034E24" w:rsidRPr="00034E24" w:rsidRDefault="00034E24" w:rsidP="00034E24">
      <w:pPr>
        <w:pStyle w:val="BodyA"/>
        <w:ind w:left="0"/>
        <w:rPr>
          <w:rFonts w:ascii="Open Sans" w:hAnsi="Open Sans"/>
        </w:rPr>
      </w:pPr>
      <w:r w:rsidRPr="00034E24">
        <w:rPr>
          <w:rFonts w:ascii="Open Sans" w:hAnsi="Open Sans"/>
          <w:b/>
          <w:bCs/>
        </w:rPr>
        <w:t>AP2.4</w:t>
      </w:r>
      <w:r w:rsidRPr="00034E24">
        <w:rPr>
          <w:rFonts w:ascii="Open Sans" w:hAnsi="Open Sans"/>
        </w:rPr>
        <w:t xml:space="preserve"> </w:t>
      </w:r>
      <w:r w:rsidRPr="00034E24">
        <w:rPr>
          <w:rFonts w:ascii="Open Sans" w:hAnsi="Open Sans"/>
        </w:rPr>
        <w:tab/>
      </w:r>
      <w:r w:rsidRPr="00034E24">
        <w:rPr>
          <w:rFonts w:ascii="Open Sans" w:hAnsi="Open Sans"/>
        </w:rPr>
        <w:tab/>
      </w:r>
    </w:p>
    <w:p w:rsidR="00034E24" w:rsidRPr="00034E24" w:rsidRDefault="00034E24" w:rsidP="00034E24">
      <w:pPr>
        <w:pStyle w:val="BodyA"/>
        <w:ind w:left="0"/>
        <w:rPr>
          <w:rFonts w:ascii="Open Sans" w:hAnsi="Open Sans"/>
        </w:rPr>
      </w:pPr>
      <w:r w:rsidRPr="00034E24">
        <w:rPr>
          <w:rFonts w:ascii="Open Sans" w:hAnsi="Open Sans"/>
          <w:b/>
          <w:bCs/>
        </w:rPr>
        <w:t>a.</w:t>
      </w:r>
      <w:r w:rsidR="002F2CE0">
        <w:rPr>
          <w:rFonts w:ascii="Open Sans" w:hAnsi="Open Sans"/>
          <w:b/>
          <w:bCs/>
        </w:rPr>
        <w:t xml:space="preserve"> </w:t>
      </w:r>
      <w:r w:rsidRPr="00034E24">
        <w:rPr>
          <w:rFonts w:ascii="Open Sans" w:hAnsi="Open Sans"/>
          <w:b/>
          <w:bCs/>
        </w:rPr>
        <w:t>Rule of Conduct</w:t>
      </w:r>
      <w:r w:rsidR="002F2CE0">
        <w:rPr>
          <w:rFonts w:ascii="Open Sans" w:hAnsi="Open Sans"/>
        </w:rPr>
        <w:t xml:space="preserve"> </w:t>
      </w:r>
      <w:r w:rsidRPr="00034E24">
        <w:rPr>
          <w:rFonts w:ascii="Open Sans" w:hAnsi="Open Sans"/>
        </w:rPr>
        <w:tab/>
      </w:r>
      <w:r w:rsidRPr="00034E24">
        <w:rPr>
          <w:rFonts w:ascii="Open Sans" w:hAnsi="Open Sans"/>
        </w:rPr>
        <w:tab/>
      </w:r>
      <w:r w:rsidRPr="00034E24">
        <w:rPr>
          <w:rFonts w:ascii="Open Sans" w:hAnsi="Open Sans"/>
        </w:rPr>
        <w:tab/>
      </w:r>
      <w:r w:rsidRPr="00034E24">
        <w:rPr>
          <w:rFonts w:ascii="Open Sans" w:hAnsi="Open Sans"/>
        </w:rPr>
        <w:tab/>
      </w:r>
      <w:r w:rsidRPr="00034E24">
        <w:rPr>
          <w:rFonts w:ascii="Open Sans" w:hAnsi="Open Sans"/>
          <w:b/>
          <w:bCs/>
        </w:rPr>
        <w:t>b.</w:t>
      </w:r>
      <w:r w:rsidR="002F2CE0">
        <w:rPr>
          <w:rFonts w:ascii="Open Sans" w:hAnsi="Open Sans"/>
          <w:b/>
          <w:bCs/>
        </w:rPr>
        <w:t xml:space="preserve"> </w:t>
      </w:r>
      <w:r w:rsidRPr="00034E24">
        <w:rPr>
          <w:rFonts w:ascii="Open Sans" w:hAnsi="Open Sans"/>
          <w:b/>
          <w:bCs/>
        </w:rPr>
        <w:t>Effect of Rule</w:t>
      </w:r>
    </w:p>
    <w:p w:rsidR="00034E24" w:rsidRPr="00034E24" w:rsidRDefault="00034E24" w:rsidP="00034E24">
      <w:pPr>
        <w:pStyle w:val="BodyA"/>
        <w:tabs>
          <w:tab w:val="left" w:pos="4320"/>
        </w:tabs>
        <w:ind w:left="4320" w:hanging="4320"/>
        <w:rPr>
          <w:rFonts w:ascii="Open Sans" w:hAnsi="Open Sans"/>
          <w:lang w:val="pt-PT"/>
        </w:rPr>
      </w:pPr>
      <w:r w:rsidRPr="00034E24">
        <w:rPr>
          <w:rFonts w:ascii="Open Sans" w:hAnsi="Open Sans"/>
          <w:lang w:val="pt-PT"/>
        </w:rPr>
        <w:t>1.</w:t>
      </w:r>
      <w:r w:rsidR="002F2CE0">
        <w:rPr>
          <w:rFonts w:ascii="Open Sans" w:hAnsi="Open Sans"/>
          <w:lang w:val="pt-PT"/>
        </w:rPr>
        <w:t xml:space="preserve"> </w:t>
      </w:r>
      <w:r w:rsidRPr="00034E24">
        <w:rPr>
          <w:rFonts w:ascii="Open Sans" w:hAnsi="Open Sans"/>
          <w:lang w:val="pt-PT"/>
        </w:rPr>
        <w:t xml:space="preserve">ET 1.200 - Independence </w:t>
      </w:r>
      <w:r w:rsidRPr="00034E24">
        <w:rPr>
          <w:rFonts w:ascii="Open Sans" w:hAnsi="Open Sans"/>
          <w:lang w:val="pt-PT"/>
        </w:rPr>
        <w:tab/>
        <w:t>Indeterminate. The information needed to assess the applicability of Interpretations</w:t>
      </w:r>
      <w:r w:rsidR="002F2CE0">
        <w:rPr>
          <w:rFonts w:ascii="Open Sans" w:hAnsi="Open Sans"/>
          <w:lang w:val="pt-PT"/>
        </w:rPr>
        <w:t xml:space="preserve"> </w:t>
      </w:r>
      <w:r w:rsidRPr="00034E24">
        <w:rPr>
          <w:rFonts w:ascii="Open Sans" w:hAnsi="Open Sans"/>
          <w:lang w:val="pt-PT"/>
        </w:rPr>
        <w:t>ET 1.260.010 and ET 1.260.020 is not stated.</w:t>
      </w:r>
    </w:p>
    <w:p w:rsidR="00034E24" w:rsidRPr="00034E24" w:rsidRDefault="00034E24" w:rsidP="00034E24">
      <w:pPr>
        <w:pStyle w:val="BodyA"/>
        <w:ind w:left="0"/>
        <w:rPr>
          <w:rFonts w:ascii="Open Sans" w:hAnsi="Open Sans"/>
        </w:rPr>
      </w:pPr>
    </w:p>
    <w:p w:rsidR="00034E24" w:rsidRPr="00034E24" w:rsidRDefault="00034E24" w:rsidP="00034E24">
      <w:pPr>
        <w:pStyle w:val="BodyA"/>
        <w:tabs>
          <w:tab w:val="left" w:pos="4320"/>
        </w:tabs>
        <w:ind w:left="0"/>
        <w:rPr>
          <w:rFonts w:ascii="Open Sans" w:hAnsi="Open Sans"/>
        </w:rPr>
      </w:pPr>
      <w:r w:rsidRPr="00034E24">
        <w:rPr>
          <w:rFonts w:ascii="Open Sans" w:hAnsi="Open Sans"/>
        </w:rPr>
        <w:t>2.</w:t>
      </w:r>
      <w:r w:rsidR="002F2CE0">
        <w:rPr>
          <w:rFonts w:ascii="Open Sans" w:hAnsi="Open Sans"/>
        </w:rPr>
        <w:t xml:space="preserve"> </w:t>
      </w:r>
      <w:r w:rsidRPr="00034E24">
        <w:rPr>
          <w:rFonts w:ascii="Open Sans" w:hAnsi="Open Sans"/>
        </w:rPr>
        <w:t xml:space="preserve">ET 1.310 – Compliance with </w:t>
      </w:r>
      <w:r w:rsidRPr="00034E24">
        <w:rPr>
          <w:rFonts w:ascii="Open Sans" w:hAnsi="Open Sans"/>
        </w:rPr>
        <w:tab/>
        <w:t>No violation.</w:t>
      </w:r>
      <w:r w:rsidR="002F2CE0">
        <w:rPr>
          <w:rFonts w:ascii="Open Sans" w:hAnsi="Open Sans"/>
        </w:rPr>
        <w:t xml:space="preserve"> </w:t>
      </w:r>
      <w:r w:rsidRPr="00034E24">
        <w:rPr>
          <w:rFonts w:ascii="Open Sans" w:hAnsi="Open Sans"/>
        </w:rPr>
        <w:t xml:space="preserve">GASB principles are recognized as Standards </w:t>
      </w:r>
      <w:r w:rsidRPr="00034E24">
        <w:rPr>
          <w:rFonts w:ascii="Open Sans" w:hAnsi="Open Sans"/>
        </w:rPr>
        <w:tab/>
        <w:t xml:space="preserve">authoritative pronouncements for governmental </w:t>
      </w:r>
      <w:r w:rsidRPr="00034E24">
        <w:rPr>
          <w:rFonts w:ascii="Open Sans" w:hAnsi="Open Sans"/>
        </w:rPr>
        <w:tab/>
      </w:r>
      <w:r w:rsidRPr="00034E24">
        <w:rPr>
          <w:rFonts w:ascii="Open Sans" w:hAnsi="Open Sans"/>
        </w:rPr>
        <w:tab/>
        <w:t>entities.</w:t>
      </w:r>
    </w:p>
    <w:p w:rsidR="00034E24" w:rsidRPr="00034E24" w:rsidRDefault="00034E24" w:rsidP="00034E24">
      <w:pPr>
        <w:pStyle w:val="BodyA"/>
        <w:tabs>
          <w:tab w:val="left" w:pos="4320"/>
        </w:tabs>
        <w:ind w:left="0"/>
        <w:rPr>
          <w:rFonts w:ascii="Open Sans" w:hAnsi="Open Sans"/>
        </w:rPr>
      </w:pPr>
    </w:p>
    <w:p w:rsidR="00034E24" w:rsidRPr="00034E24" w:rsidRDefault="00034E24" w:rsidP="00034E24">
      <w:pPr>
        <w:pStyle w:val="BodyA"/>
        <w:tabs>
          <w:tab w:val="left" w:pos="4320"/>
        </w:tabs>
        <w:ind w:left="4320" w:hanging="4320"/>
        <w:rPr>
          <w:rFonts w:ascii="Open Sans" w:hAnsi="Open Sans"/>
        </w:rPr>
      </w:pPr>
      <w:r w:rsidRPr="00034E24">
        <w:rPr>
          <w:rFonts w:ascii="Open Sans" w:hAnsi="Open Sans"/>
        </w:rPr>
        <w:t>3.</w:t>
      </w:r>
      <w:r w:rsidR="002F2CE0">
        <w:rPr>
          <w:rFonts w:ascii="Open Sans" w:hAnsi="Open Sans"/>
        </w:rPr>
        <w:t xml:space="preserve"> </w:t>
      </w:r>
      <w:r w:rsidRPr="00034E24">
        <w:rPr>
          <w:rFonts w:ascii="Open Sans" w:hAnsi="Open Sans"/>
        </w:rPr>
        <w:t>ET 1.400 – Acts Discreditable</w:t>
      </w:r>
      <w:r w:rsidRPr="00034E24">
        <w:rPr>
          <w:rFonts w:ascii="Open Sans" w:hAnsi="Open Sans"/>
        </w:rPr>
        <w:tab/>
        <w:t>Violation. This is considered to be an act discreditable to the profession.</w:t>
      </w:r>
    </w:p>
    <w:p w:rsidR="00034E24" w:rsidRPr="00034E24" w:rsidRDefault="00034E24" w:rsidP="00034E24">
      <w:pPr>
        <w:pStyle w:val="BodyA"/>
        <w:tabs>
          <w:tab w:val="left" w:pos="4320"/>
        </w:tabs>
        <w:ind w:left="4320" w:hanging="4320"/>
        <w:rPr>
          <w:rFonts w:ascii="Open Sans" w:hAnsi="Open Sans"/>
        </w:rPr>
      </w:pPr>
    </w:p>
    <w:p w:rsidR="00034E24" w:rsidRPr="00034E24" w:rsidRDefault="00034E24" w:rsidP="00034E24">
      <w:pPr>
        <w:pStyle w:val="BodyA"/>
        <w:tabs>
          <w:tab w:val="left" w:pos="4320"/>
        </w:tabs>
        <w:ind w:left="4320" w:hanging="4320"/>
        <w:rPr>
          <w:rFonts w:ascii="Open Sans" w:hAnsi="Open Sans"/>
        </w:rPr>
      </w:pPr>
      <w:r w:rsidRPr="00034E24">
        <w:rPr>
          <w:rFonts w:ascii="Open Sans" w:hAnsi="Open Sans"/>
        </w:rPr>
        <w:t>4.</w:t>
      </w:r>
      <w:r w:rsidR="002F2CE0">
        <w:rPr>
          <w:rFonts w:ascii="Open Sans" w:hAnsi="Open Sans"/>
        </w:rPr>
        <w:t xml:space="preserve"> </w:t>
      </w:r>
      <w:r w:rsidRPr="00034E24">
        <w:rPr>
          <w:rFonts w:ascii="Open Sans" w:hAnsi="Open Sans"/>
        </w:rPr>
        <w:t xml:space="preserve">ET 1.200 – </w:t>
      </w:r>
      <w:r w:rsidRPr="00034E24">
        <w:rPr>
          <w:rFonts w:ascii="Open Sans" w:hAnsi="Open Sans"/>
          <w:lang w:val="pt-PT"/>
        </w:rPr>
        <w:t>Independence.</w:t>
      </w:r>
      <w:r w:rsidR="002F2CE0">
        <w:rPr>
          <w:rFonts w:ascii="Open Sans" w:hAnsi="Open Sans"/>
          <w:lang w:val="pt-PT"/>
        </w:rPr>
        <w:t xml:space="preserve"> </w:t>
      </w:r>
      <w:r w:rsidRPr="00034E24">
        <w:rPr>
          <w:rFonts w:ascii="Open Sans" w:hAnsi="Open Sans"/>
          <w:lang w:val="pt-PT"/>
        </w:rPr>
        <w:tab/>
        <w:t>No violation.</w:t>
      </w:r>
      <w:r w:rsidR="002F2CE0">
        <w:rPr>
          <w:rFonts w:ascii="Open Sans" w:hAnsi="Open Sans"/>
          <w:lang w:val="pt-PT"/>
        </w:rPr>
        <w:t xml:space="preserve"> </w:t>
      </w:r>
      <w:r w:rsidRPr="00034E24">
        <w:rPr>
          <w:rFonts w:ascii="Open Sans" w:hAnsi="Open Sans"/>
          <w:lang w:val="pt-PT"/>
        </w:rPr>
        <w:t>Retirement payments to individuals formerly engaged in the practice of public accounting are specifically permitted, absent certain conditions.</w:t>
      </w:r>
    </w:p>
    <w:p w:rsidR="00034E24" w:rsidRPr="00034E24" w:rsidRDefault="00034E24" w:rsidP="00034E24">
      <w:pPr>
        <w:pStyle w:val="BodyA"/>
        <w:tabs>
          <w:tab w:val="left" w:pos="4320"/>
        </w:tabs>
        <w:ind w:left="4320" w:hanging="4320"/>
        <w:rPr>
          <w:rFonts w:ascii="Open Sans" w:hAnsi="Open Sans"/>
        </w:rPr>
      </w:pPr>
    </w:p>
    <w:p w:rsidR="00034E24" w:rsidRPr="00034E24" w:rsidRDefault="00034E24" w:rsidP="00034E24">
      <w:pPr>
        <w:pStyle w:val="BodyA"/>
        <w:tabs>
          <w:tab w:val="left" w:pos="4320"/>
        </w:tabs>
        <w:ind w:left="4320" w:hanging="4320"/>
        <w:rPr>
          <w:rFonts w:ascii="Open Sans" w:hAnsi="Open Sans"/>
        </w:rPr>
      </w:pPr>
      <w:r w:rsidRPr="00034E24">
        <w:rPr>
          <w:rFonts w:ascii="Open Sans" w:hAnsi="Open Sans"/>
          <w:lang w:val="de-DE"/>
        </w:rPr>
        <w:t>5.</w:t>
      </w:r>
      <w:r w:rsidR="002F2CE0">
        <w:rPr>
          <w:rFonts w:ascii="Open Sans" w:hAnsi="Open Sans"/>
          <w:lang w:val="de-DE"/>
        </w:rPr>
        <w:t xml:space="preserve"> </w:t>
      </w:r>
      <w:r w:rsidRPr="00034E24">
        <w:rPr>
          <w:rFonts w:ascii="Open Sans" w:hAnsi="Open Sans"/>
          <w:lang w:val="de-DE"/>
        </w:rPr>
        <w:t>ET</w:t>
      </w:r>
      <w:r w:rsidR="002F2CE0">
        <w:rPr>
          <w:rFonts w:ascii="Open Sans" w:hAnsi="Open Sans"/>
          <w:lang w:val="de-DE"/>
        </w:rPr>
        <w:t xml:space="preserve"> </w:t>
      </w:r>
      <w:r w:rsidRPr="00034E24">
        <w:rPr>
          <w:rFonts w:ascii="Open Sans" w:hAnsi="Open Sans"/>
          <w:lang w:val="de-DE"/>
        </w:rPr>
        <w:t xml:space="preserve">1.200 </w:t>
      </w:r>
      <w:r w:rsidRPr="00034E24">
        <w:rPr>
          <w:rFonts w:ascii="Open Sans" w:hAnsi="Open Sans"/>
        </w:rPr>
        <w:t xml:space="preserve">– </w:t>
      </w:r>
      <w:r w:rsidRPr="00034E24">
        <w:rPr>
          <w:rFonts w:ascii="Open Sans" w:hAnsi="Open Sans"/>
          <w:lang w:val="pt-PT"/>
        </w:rPr>
        <w:t xml:space="preserve">Independence. </w:t>
      </w:r>
      <w:r w:rsidRPr="00034E24">
        <w:rPr>
          <w:rFonts w:ascii="Open Sans" w:hAnsi="Open Sans"/>
          <w:lang w:val="pt-PT"/>
        </w:rPr>
        <w:tab/>
        <w:t>Violation.</w:t>
      </w:r>
      <w:r w:rsidR="002F2CE0">
        <w:rPr>
          <w:rFonts w:ascii="Open Sans" w:hAnsi="Open Sans"/>
          <w:lang w:val="pt-PT"/>
        </w:rPr>
        <w:t xml:space="preserve"> </w:t>
      </w:r>
      <w:r w:rsidRPr="00034E24">
        <w:rPr>
          <w:rFonts w:ascii="Open Sans" w:hAnsi="Open Sans"/>
          <w:lang w:val="pt-PT"/>
        </w:rPr>
        <w:t>The prohibition against direct financial interest applies to the period of the professional engagement (at the beginning of the year under audit through the time of expressing an opinion).</w:t>
      </w:r>
    </w:p>
    <w:p w:rsidR="00034E24" w:rsidRPr="00034E24" w:rsidRDefault="00034E24" w:rsidP="00034E24">
      <w:pPr>
        <w:pStyle w:val="BodyA"/>
        <w:tabs>
          <w:tab w:val="left" w:pos="4320"/>
        </w:tabs>
        <w:ind w:left="4320" w:hanging="4320"/>
        <w:rPr>
          <w:rFonts w:ascii="Open Sans" w:hAnsi="Open Sans"/>
        </w:rPr>
      </w:pPr>
    </w:p>
    <w:p w:rsidR="00034E24" w:rsidRPr="00034E24" w:rsidRDefault="00034E24" w:rsidP="00034E24">
      <w:pPr>
        <w:pStyle w:val="BodyA"/>
        <w:tabs>
          <w:tab w:val="clear" w:pos="540"/>
          <w:tab w:val="left" w:pos="4320"/>
        </w:tabs>
        <w:ind w:left="4320" w:hanging="4320"/>
        <w:rPr>
          <w:rFonts w:ascii="Open Sans" w:hAnsi="Open Sans"/>
        </w:rPr>
      </w:pPr>
      <w:r w:rsidRPr="00034E24">
        <w:rPr>
          <w:rFonts w:ascii="Open Sans" w:hAnsi="Open Sans"/>
          <w:lang w:val="de-DE"/>
        </w:rPr>
        <w:t>6.</w:t>
      </w:r>
      <w:r w:rsidR="002F2CE0">
        <w:rPr>
          <w:rFonts w:ascii="Open Sans" w:hAnsi="Open Sans"/>
          <w:lang w:val="de-DE"/>
        </w:rPr>
        <w:t xml:space="preserve"> </w:t>
      </w:r>
      <w:r w:rsidRPr="00034E24">
        <w:rPr>
          <w:rFonts w:ascii="Open Sans" w:hAnsi="Open Sans"/>
          <w:lang w:val="de-DE"/>
        </w:rPr>
        <w:t>ET</w:t>
      </w:r>
      <w:r w:rsidR="002F2CE0">
        <w:rPr>
          <w:rFonts w:ascii="Open Sans" w:hAnsi="Open Sans"/>
          <w:lang w:val="de-DE"/>
        </w:rPr>
        <w:t xml:space="preserve"> </w:t>
      </w:r>
      <w:r w:rsidRPr="00034E24">
        <w:rPr>
          <w:rFonts w:ascii="Open Sans" w:hAnsi="Open Sans"/>
          <w:lang w:val="de-DE"/>
        </w:rPr>
        <w:t>1.300 - General Standards.</w:t>
      </w:r>
      <w:r w:rsidR="002F2CE0">
        <w:rPr>
          <w:rFonts w:ascii="Open Sans" w:hAnsi="Open Sans"/>
          <w:lang w:val="de-DE"/>
        </w:rPr>
        <w:t xml:space="preserve"> </w:t>
      </w:r>
      <w:r w:rsidRPr="00034E24">
        <w:rPr>
          <w:rFonts w:ascii="Open Sans" w:hAnsi="Open Sans"/>
          <w:lang w:val="de-DE"/>
        </w:rPr>
        <w:tab/>
        <w:t>Violation.</w:t>
      </w:r>
      <w:r w:rsidR="002F2CE0">
        <w:rPr>
          <w:rFonts w:ascii="Open Sans" w:hAnsi="Open Sans"/>
          <w:lang w:val="de-DE"/>
        </w:rPr>
        <w:t xml:space="preserve"> </w:t>
      </w:r>
      <w:r w:rsidRPr="00034E24">
        <w:rPr>
          <w:rFonts w:ascii="Open Sans" w:hAnsi="Open Sans"/>
          <w:lang w:val="de-DE"/>
        </w:rPr>
        <w:t>A member shall undertake only engagements that member or member</w:t>
      </w:r>
      <w:r>
        <w:rPr>
          <w:rFonts w:ascii="Arial Unicode MS" w:hAnsi="Arial Unicode MS"/>
          <w:rtl/>
          <w:lang w:val="ar-SA"/>
        </w:rPr>
        <w:t>’</w:t>
      </w:r>
      <w:r w:rsidRPr="00034E24">
        <w:rPr>
          <w:rFonts w:ascii="Open Sans" w:hAnsi="Open Sans"/>
        </w:rPr>
        <w:t>s firm can reasonably expect to complete with professional competence.</w:t>
      </w:r>
    </w:p>
    <w:p w:rsidR="00034E24" w:rsidRPr="00034E24" w:rsidRDefault="00034E24" w:rsidP="00034E24">
      <w:pPr>
        <w:pStyle w:val="BodyA"/>
        <w:tabs>
          <w:tab w:val="clear" w:pos="540"/>
          <w:tab w:val="left" w:pos="4320"/>
        </w:tabs>
        <w:ind w:left="4320" w:hanging="4320"/>
        <w:rPr>
          <w:rFonts w:ascii="Open Sans" w:hAnsi="Open Sans"/>
        </w:rPr>
      </w:pPr>
    </w:p>
    <w:p w:rsidR="00034E24" w:rsidRPr="00034E24" w:rsidRDefault="00034E24" w:rsidP="00034E24">
      <w:pPr>
        <w:pStyle w:val="BodyA"/>
        <w:tabs>
          <w:tab w:val="left" w:pos="4320"/>
        </w:tabs>
        <w:ind w:left="4320" w:hanging="4320"/>
        <w:rPr>
          <w:rFonts w:ascii="Open Sans" w:hAnsi="Open Sans"/>
        </w:rPr>
      </w:pPr>
      <w:r w:rsidRPr="00034E24">
        <w:rPr>
          <w:rFonts w:ascii="Open Sans" w:hAnsi="Open Sans"/>
          <w:lang w:val="de-DE"/>
        </w:rPr>
        <w:t>7.</w:t>
      </w:r>
      <w:r w:rsidR="002F2CE0">
        <w:rPr>
          <w:rFonts w:ascii="Open Sans" w:hAnsi="Open Sans"/>
          <w:lang w:val="de-DE"/>
        </w:rPr>
        <w:t xml:space="preserve"> </w:t>
      </w:r>
      <w:r w:rsidRPr="00034E24">
        <w:rPr>
          <w:rFonts w:ascii="Open Sans" w:hAnsi="Open Sans"/>
          <w:lang w:val="de-DE"/>
        </w:rPr>
        <w:t>ET</w:t>
      </w:r>
      <w:r w:rsidR="002F2CE0">
        <w:rPr>
          <w:rFonts w:ascii="Open Sans" w:hAnsi="Open Sans"/>
          <w:lang w:val="de-DE"/>
        </w:rPr>
        <w:t xml:space="preserve"> </w:t>
      </w:r>
      <w:r w:rsidRPr="00034E24">
        <w:rPr>
          <w:rFonts w:ascii="Open Sans" w:hAnsi="Open Sans"/>
          <w:lang w:val="de-DE"/>
        </w:rPr>
        <w:t>1.510 - Contingent Fees.</w:t>
      </w:r>
      <w:r w:rsidR="002F2CE0">
        <w:rPr>
          <w:rFonts w:ascii="Open Sans" w:hAnsi="Open Sans"/>
          <w:lang w:val="de-DE"/>
        </w:rPr>
        <w:t xml:space="preserve"> </w:t>
      </w:r>
      <w:r w:rsidRPr="00034E24">
        <w:rPr>
          <w:rFonts w:ascii="Open Sans" w:hAnsi="Open Sans"/>
          <w:lang w:val="de-DE"/>
        </w:rPr>
        <w:tab/>
        <w:t>No violation.</w:t>
      </w:r>
      <w:r w:rsidR="002F2CE0">
        <w:rPr>
          <w:rFonts w:ascii="Open Sans" w:hAnsi="Open Sans"/>
          <w:lang w:val="de-DE"/>
        </w:rPr>
        <w:t xml:space="preserve"> </w:t>
      </w:r>
      <w:r w:rsidRPr="00034E24">
        <w:rPr>
          <w:rFonts w:ascii="Open Sans" w:hAnsi="Open Sans"/>
          <w:lang w:val="de-DE"/>
        </w:rPr>
        <w:t>A member</w:t>
      </w:r>
      <w:r>
        <w:rPr>
          <w:rFonts w:ascii="Arial Unicode MS" w:hAnsi="Arial Unicode MS"/>
          <w:rtl/>
          <w:lang w:val="ar-SA"/>
        </w:rPr>
        <w:t>’</w:t>
      </w:r>
      <w:r w:rsidRPr="00034E24">
        <w:rPr>
          <w:rFonts w:ascii="Open Sans" w:hAnsi="Open Sans"/>
        </w:rPr>
        <w:t>s fee may vary depending on the complexity of the engagement.</w:t>
      </w:r>
    </w:p>
    <w:p w:rsidR="00034E24" w:rsidRPr="00034E24" w:rsidRDefault="00034E24" w:rsidP="00034E24">
      <w:pPr>
        <w:pStyle w:val="BodyA"/>
        <w:tabs>
          <w:tab w:val="left" w:pos="4320"/>
        </w:tabs>
        <w:ind w:left="4320" w:hanging="4320"/>
        <w:rPr>
          <w:rFonts w:ascii="Open Sans" w:hAnsi="Open Sans"/>
        </w:rPr>
      </w:pPr>
    </w:p>
    <w:p w:rsidR="00034E24" w:rsidRPr="00034E24" w:rsidRDefault="00034E24" w:rsidP="00034E24">
      <w:pPr>
        <w:pStyle w:val="BodyA"/>
        <w:tabs>
          <w:tab w:val="left" w:pos="4320"/>
        </w:tabs>
        <w:ind w:left="0"/>
        <w:rPr>
          <w:rFonts w:ascii="Open Sans" w:hAnsi="Open Sans"/>
        </w:rPr>
      </w:pPr>
      <w:r w:rsidRPr="00034E24">
        <w:rPr>
          <w:rFonts w:ascii="Open Sans" w:hAnsi="Open Sans"/>
        </w:rPr>
        <w:t>8.</w:t>
      </w:r>
      <w:r w:rsidR="002F2CE0">
        <w:rPr>
          <w:rFonts w:ascii="Open Sans" w:hAnsi="Open Sans"/>
        </w:rPr>
        <w:t xml:space="preserve"> </w:t>
      </w:r>
      <w:r w:rsidRPr="00034E24">
        <w:rPr>
          <w:rFonts w:ascii="Open Sans" w:hAnsi="Open Sans"/>
        </w:rPr>
        <w:t xml:space="preserve">ET 1.600 – Advertising and </w:t>
      </w:r>
      <w:r w:rsidRPr="00034E24">
        <w:rPr>
          <w:rFonts w:ascii="Open Sans" w:hAnsi="Open Sans"/>
        </w:rPr>
        <w:tab/>
        <w:t>No violation.</w:t>
      </w:r>
      <w:r w:rsidR="002F2CE0">
        <w:rPr>
          <w:rFonts w:ascii="Open Sans" w:hAnsi="Open Sans"/>
        </w:rPr>
        <w:t xml:space="preserve"> </w:t>
      </w:r>
      <w:r w:rsidRPr="00034E24">
        <w:rPr>
          <w:rFonts w:ascii="Open Sans" w:hAnsi="Open Sans"/>
        </w:rPr>
        <w:t>The rule can no longer be used to</w:t>
      </w:r>
    </w:p>
    <w:p w:rsidR="00034E24" w:rsidRPr="00034E24" w:rsidRDefault="00034E24" w:rsidP="00034E24">
      <w:pPr>
        <w:pStyle w:val="BodyA"/>
        <w:tabs>
          <w:tab w:val="left" w:pos="4320"/>
        </w:tabs>
        <w:ind w:left="4320" w:hanging="4320"/>
        <w:rPr>
          <w:rFonts w:ascii="Open Sans" w:hAnsi="Open Sans"/>
        </w:rPr>
      </w:pPr>
      <w:r w:rsidRPr="00034E24">
        <w:rPr>
          <w:rFonts w:ascii="Open Sans" w:hAnsi="Open Sans"/>
        </w:rPr>
        <w:t xml:space="preserve">Other Forms of Solicitation. </w:t>
      </w:r>
      <w:r w:rsidRPr="00034E24">
        <w:rPr>
          <w:rFonts w:ascii="Open Sans" w:hAnsi="Open Sans"/>
        </w:rPr>
        <w:tab/>
      </w:r>
      <w:proofErr w:type="gramStart"/>
      <w:r w:rsidRPr="00034E24">
        <w:rPr>
          <w:rFonts w:ascii="Open Sans" w:hAnsi="Open Sans"/>
        </w:rPr>
        <w:t>prevent</w:t>
      </w:r>
      <w:proofErr w:type="gramEnd"/>
      <w:r w:rsidRPr="00034E24">
        <w:rPr>
          <w:rFonts w:ascii="Open Sans" w:hAnsi="Open Sans"/>
        </w:rPr>
        <w:t xml:space="preserve"> members from using advertising that includes self-laudatory claims.</w:t>
      </w:r>
    </w:p>
    <w:p w:rsidR="00034E24" w:rsidRPr="00034E24" w:rsidRDefault="00034E24" w:rsidP="00034E24">
      <w:pPr>
        <w:pStyle w:val="BodyA"/>
        <w:tabs>
          <w:tab w:val="left" w:pos="4320"/>
        </w:tabs>
        <w:ind w:left="4320" w:hanging="4320"/>
        <w:rPr>
          <w:rFonts w:ascii="Open Sans" w:hAnsi="Open Sans"/>
        </w:rPr>
      </w:pPr>
    </w:p>
    <w:p w:rsidR="00034E24" w:rsidRPr="00034E24" w:rsidRDefault="00034E24" w:rsidP="00034E24">
      <w:pPr>
        <w:pStyle w:val="BodyA"/>
        <w:tabs>
          <w:tab w:val="left" w:pos="4320"/>
        </w:tabs>
        <w:ind w:left="4320" w:hanging="4320"/>
        <w:rPr>
          <w:rFonts w:ascii="Open Sans" w:hAnsi="Open Sans"/>
          <w:lang w:val="pt-PT"/>
        </w:rPr>
      </w:pPr>
      <w:r w:rsidRPr="00034E24">
        <w:rPr>
          <w:rFonts w:ascii="Open Sans" w:hAnsi="Open Sans"/>
          <w:lang w:val="pt-PT"/>
        </w:rPr>
        <w:t>9.</w:t>
      </w:r>
      <w:r w:rsidR="002F2CE0">
        <w:rPr>
          <w:rFonts w:ascii="Open Sans" w:hAnsi="Open Sans"/>
          <w:lang w:val="pt-PT"/>
        </w:rPr>
        <w:t xml:space="preserve"> </w:t>
      </w:r>
      <w:r w:rsidRPr="00034E24">
        <w:rPr>
          <w:rFonts w:ascii="Open Sans" w:hAnsi="Open Sans"/>
          <w:lang w:val="pt-PT"/>
        </w:rPr>
        <w:t xml:space="preserve">ET 1.200 - Independence. </w:t>
      </w:r>
      <w:r w:rsidRPr="00034E24">
        <w:rPr>
          <w:rFonts w:ascii="Open Sans" w:hAnsi="Open Sans"/>
          <w:lang w:val="pt-PT"/>
        </w:rPr>
        <w:tab/>
        <w:t>Violation.</w:t>
      </w:r>
      <w:r w:rsidR="002F2CE0">
        <w:rPr>
          <w:rFonts w:ascii="Open Sans" w:hAnsi="Open Sans"/>
          <w:lang w:val="pt-PT"/>
        </w:rPr>
        <w:t xml:space="preserve"> </w:t>
      </w:r>
      <w:r w:rsidRPr="00034E24">
        <w:rPr>
          <w:rFonts w:ascii="Open Sans" w:hAnsi="Open Sans"/>
          <w:lang w:val="pt-PT"/>
        </w:rPr>
        <w:t>Interpretation 1.277.010 states that a member cannot be an officer of the client during the time period covered by the financial statements.</w:t>
      </w:r>
    </w:p>
    <w:p w:rsidR="00034E24" w:rsidRPr="00034E24" w:rsidRDefault="00034E24" w:rsidP="00034E24">
      <w:pPr>
        <w:pStyle w:val="BodyA"/>
        <w:tabs>
          <w:tab w:val="left" w:pos="4320"/>
        </w:tabs>
        <w:ind w:left="4320" w:hanging="4320"/>
        <w:rPr>
          <w:rFonts w:ascii="Open Sans" w:hAnsi="Open Sans"/>
        </w:rPr>
      </w:pPr>
    </w:p>
    <w:p w:rsidR="002F2CE0" w:rsidRDefault="00034E24" w:rsidP="00034E24">
      <w:pPr>
        <w:pStyle w:val="BodyA"/>
        <w:tabs>
          <w:tab w:val="clear" w:pos="540"/>
        </w:tabs>
        <w:ind w:left="4320" w:hanging="4320"/>
        <w:rPr>
          <w:rFonts w:ascii="Open Sans" w:hAnsi="Open Sans"/>
        </w:rPr>
      </w:pPr>
      <w:r w:rsidRPr="00034E24">
        <w:rPr>
          <w:rFonts w:ascii="Open Sans" w:hAnsi="Open Sans"/>
        </w:rPr>
        <w:t>10.</w:t>
      </w:r>
      <w:r w:rsidR="002F2CE0">
        <w:rPr>
          <w:rFonts w:ascii="Open Sans" w:hAnsi="Open Sans"/>
        </w:rPr>
        <w:t xml:space="preserve"> </w:t>
      </w:r>
      <w:r w:rsidRPr="00034E24">
        <w:rPr>
          <w:rFonts w:ascii="Open Sans" w:hAnsi="Open Sans"/>
        </w:rPr>
        <w:t xml:space="preserve">ET 1.700 - Confidential Client </w:t>
      </w:r>
      <w:r w:rsidRPr="00034E24">
        <w:rPr>
          <w:rFonts w:ascii="Open Sans" w:hAnsi="Open Sans"/>
        </w:rPr>
        <w:tab/>
        <w:t>Indeterminate.</w:t>
      </w:r>
      <w:r w:rsidR="002F2CE0">
        <w:rPr>
          <w:rFonts w:ascii="Open Sans" w:hAnsi="Open Sans"/>
        </w:rPr>
        <w:t xml:space="preserve"> </w:t>
      </w:r>
      <w:r w:rsidRPr="00034E24">
        <w:rPr>
          <w:rFonts w:ascii="Open Sans" w:hAnsi="Open Sans"/>
        </w:rPr>
        <w:t>No information is given as to</w:t>
      </w:r>
    </w:p>
    <w:p w:rsidR="00034E24" w:rsidRPr="00034E24" w:rsidRDefault="00034E24" w:rsidP="00034E24">
      <w:pPr>
        <w:pStyle w:val="BodyA"/>
        <w:tabs>
          <w:tab w:val="clear" w:pos="540"/>
        </w:tabs>
        <w:ind w:left="4320" w:hanging="4320"/>
        <w:rPr>
          <w:rFonts w:ascii="Open Sans" w:hAnsi="Open Sans"/>
        </w:rPr>
      </w:pPr>
      <w:r w:rsidRPr="00034E24">
        <w:rPr>
          <w:rFonts w:ascii="Open Sans" w:hAnsi="Open Sans"/>
        </w:rPr>
        <w:t>Information</w:t>
      </w:r>
      <w:r w:rsidRPr="00034E24">
        <w:rPr>
          <w:rFonts w:ascii="Open Sans" w:hAnsi="Open Sans"/>
        </w:rPr>
        <w:tab/>
        <w:t>whether the client approved disclosure of the information.</w:t>
      </w:r>
    </w:p>
    <w:p w:rsidR="00034E24" w:rsidRPr="00034E24" w:rsidRDefault="00034E24" w:rsidP="00034E24">
      <w:pPr>
        <w:pStyle w:val="BodyA"/>
        <w:ind w:left="4320" w:hanging="4320"/>
        <w:rPr>
          <w:rFonts w:ascii="Open Sans" w:hAnsi="Open Sans"/>
        </w:rPr>
      </w:pPr>
    </w:p>
    <w:p w:rsidR="00034E24" w:rsidRPr="00034E24" w:rsidRDefault="00034E24" w:rsidP="00034E24">
      <w:pPr>
        <w:pStyle w:val="BodyA"/>
        <w:tabs>
          <w:tab w:val="left" w:pos="4320"/>
        </w:tabs>
        <w:ind w:left="4320" w:hanging="4320"/>
        <w:rPr>
          <w:rFonts w:ascii="Open Sans" w:hAnsi="Open Sans"/>
        </w:rPr>
      </w:pPr>
      <w:r w:rsidRPr="00034E24">
        <w:rPr>
          <w:rFonts w:ascii="Open Sans" w:hAnsi="Open Sans"/>
        </w:rPr>
        <w:t>11.</w:t>
      </w:r>
      <w:r w:rsidR="002F2CE0">
        <w:rPr>
          <w:rFonts w:ascii="Open Sans" w:hAnsi="Open Sans"/>
        </w:rPr>
        <w:t xml:space="preserve"> </w:t>
      </w:r>
      <w:r w:rsidRPr="00034E24">
        <w:rPr>
          <w:rFonts w:ascii="Open Sans" w:hAnsi="Open Sans"/>
        </w:rPr>
        <w:t xml:space="preserve">ET 1.100 - Integrity and Objectivity </w:t>
      </w:r>
      <w:r w:rsidRPr="00034E24">
        <w:rPr>
          <w:rFonts w:ascii="Open Sans" w:hAnsi="Open Sans"/>
        </w:rPr>
        <w:tab/>
        <w:t>Violation.</w:t>
      </w:r>
      <w:r w:rsidR="002F2CE0">
        <w:rPr>
          <w:rFonts w:ascii="Open Sans" w:hAnsi="Open Sans"/>
        </w:rPr>
        <w:t xml:space="preserve"> </w:t>
      </w:r>
      <w:r w:rsidRPr="00034E24">
        <w:rPr>
          <w:rFonts w:ascii="Open Sans" w:hAnsi="Open Sans"/>
        </w:rPr>
        <w:t>A member should not perform a professional service when he or she has a conflict of interest.</w:t>
      </w:r>
    </w:p>
    <w:p w:rsidR="00034E24" w:rsidRPr="00034E24" w:rsidRDefault="00034E24" w:rsidP="00034E24">
      <w:pPr>
        <w:pStyle w:val="BodyA"/>
        <w:tabs>
          <w:tab w:val="left" w:pos="4320"/>
        </w:tabs>
        <w:ind w:left="4320" w:hanging="4320"/>
        <w:rPr>
          <w:rFonts w:ascii="Open Sans" w:hAnsi="Open Sans"/>
        </w:rPr>
      </w:pPr>
    </w:p>
    <w:p w:rsidR="00034E24" w:rsidRPr="00034E24" w:rsidRDefault="00034E24" w:rsidP="00034E24">
      <w:pPr>
        <w:pStyle w:val="BodyA"/>
        <w:tabs>
          <w:tab w:val="left" w:pos="4320"/>
        </w:tabs>
        <w:ind w:left="0"/>
        <w:rPr>
          <w:rFonts w:ascii="Open Sans" w:hAnsi="Open Sans"/>
        </w:rPr>
      </w:pPr>
      <w:r w:rsidRPr="00034E24">
        <w:rPr>
          <w:rFonts w:ascii="Open Sans" w:hAnsi="Open Sans"/>
        </w:rPr>
        <w:t>12.</w:t>
      </w:r>
      <w:r w:rsidR="002F2CE0">
        <w:rPr>
          <w:rFonts w:ascii="Open Sans" w:hAnsi="Open Sans"/>
        </w:rPr>
        <w:t xml:space="preserve"> </w:t>
      </w:r>
      <w:r w:rsidRPr="00034E24">
        <w:rPr>
          <w:rFonts w:ascii="Open Sans" w:hAnsi="Open Sans"/>
        </w:rPr>
        <w:t xml:space="preserve">ET 1.600 - Advertising and Other </w:t>
      </w:r>
      <w:r w:rsidRPr="00034E24">
        <w:rPr>
          <w:rFonts w:ascii="Open Sans" w:hAnsi="Open Sans"/>
        </w:rPr>
        <w:tab/>
        <w:t>No violation.</w:t>
      </w:r>
      <w:r w:rsidR="002F2CE0">
        <w:rPr>
          <w:rFonts w:ascii="Open Sans" w:hAnsi="Open Sans"/>
        </w:rPr>
        <w:t xml:space="preserve"> </w:t>
      </w:r>
      <w:r w:rsidRPr="00034E24">
        <w:rPr>
          <w:rFonts w:ascii="Open Sans" w:hAnsi="Open Sans"/>
        </w:rPr>
        <w:t>The rule can no longer be used to</w:t>
      </w:r>
    </w:p>
    <w:p w:rsidR="00034E24" w:rsidRPr="00034E24" w:rsidRDefault="00034E24" w:rsidP="00034E24">
      <w:pPr>
        <w:pStyle w:val="BodyA"/>
        <w:tabs>
          <w:tab w:val="left" w:pos="4320"/>
        </w:tabs>
        <w:ind w:left="4320" w:hanging="4320"/>
        <w:rPr>
          <w:rFonts w:ascii="Open Sans" w:hAnsi="Open Sans"/>
        </w:rPr>
      </w:pPr>
      <w:r w:rsidRPr="00034E24">
        <w:rPr>
          <w:rFonts w:ascii="Open Sans" w:hAnsi="Open Sans"/>
        </w:rPr>
        <w:t>Forms of Solicitation.</w:t>
      </w:r>
      <w:r w:rsidR="002F2CE0">
        <w:rPr>
          <w:rFonts w:ascii="Open Sans" w:hAnsi="Open Sans"/>
        </w:rPr>
        <w:t xml:space="preserve"> </w:t>
      </w:r>
      <w:r w:rsidRPr="00034E24">
        <w:rPr>
          <w:rFonts w:ascii="Open Sans" w:hAnsi="Open Sans"/>
        </w:rPr>
        <w:tab/>
      </w:r>
      <w:proofErr w:type="gramStart"/>
      <w:r w:rsidRPr="00034E24">
        <w:rPr>
          <w:rFonts w:ascii="Open Sans" w:hAnsi="Open Sans"/>
        </w:rPr>
        <w:t>prevent</w:t>
      </w:r>
      <w:proofErr w:type="gramEnd"/>
      <w:r w:rsidRPr="00034E24">
        <w:rPr>
          <w:rFonts w:ascii="Open Sans" w:hAnsi="Open Sans"/>
        </w:rPr>
        <w:t xml:space="preserve"> members from using advertising that includes testimonials.</w:t>
      </w:r>
    </w:p>
    <w:p w:rsidR="00034E24" w:rsidRDefault="00034E24" w:rsidP="00034E24">
      <w:pPr>
        <w:pStyle w:val="BodyA"/>
        <w:tabs>
          <w:tab w:val="left" w:pos="4320"/>
        </w:tabs>
        <w:ind w:left="4320" w:hanging="4320"/>
        <w:rPr>
          <w:rFonts w:ascii="Open Sans" w:hAnsi="Open Sans"/>
        </w:rPr>
      </w:pPr>
    </w:p>
    <w:p w:rsidR="002F2CE0" w:rsidRPr="00034E24" w:rsidRDefault="002F2CE0" w:rsidP="00034E24">
      <w:pPr>
        <w:pStyle w:val="BodyA"/>
        <w:tabs>
          <w:tab w:val="left" w:pos="4320"/>
        </w:tabs>
        <w:ind w:left="4320" w:hanging="4320"/>
        <w:rPr>
          <w:rFonts w:ascii="Open Sans" w:hAnsi="Open Sans"/>
        </w:rPr>
      </w:pPr>
    </w:p>
    <w:p w:rsidR="002F2CE0" w:rsidRDefault="002F2CE0">
      <w:pPr>
        <w:rPr>
          <w:rFonts w:ascii="Open Sans" w:hAnsi="Open Sans" w:cs="Arial Unicode MS"/>
          <w:color w:val="000000"/>
          <w:sz w:val="22"/>
          <w:szCs w:val="22"/>
          <w:u w:color="000000"/>
          <w14:textOutline w14:w="12700" w14:cap="flat" w14:cmpd="sng" w14:algn="ctr">
            <w14:noFill/>
            <w14:prstDash w14:val="solid"/>
            <w14:miter w14:lim="400000"/>
          </w14:textOutline>
        </w:rPr>
      </w:pPr>
      <w:r>
        <w:rPr>
          <w:rFonts w:ascii="Open Sans" w:hAnsi="Open Sans"/>
        </w:rPr>
        <w:br w:type="page"/>
      </w:r>
    </w:p>
    <w:p w:rsidR="002F2CE0" w:rsidRDefault="00034E24" w:rsidP="00034E24">
      <w:pPr>
        <w:pStyle w:val="BodyA"/>
        <w:tabs>
          <w:tab w:val="left" w:pos="4320"/>
        </w:tabs>
        <w:ind w:left="0"/>
        <w:rPr>
          <w:rFonts w:ascii="Open Sans" w:hAnsi="Open Sans"/>
        </w:rPr>
      </w:pPr>
      <w:r w:rsidRPr="00034E24">
        <w:rPr>
          <w:rFonts w:ascii="Open Sans" w:hAnsi="Open Sans"/>
        </w:rPr>
        <w:lastRenderedPageBreak/>
        <w:t>13.</w:t>
      </w:r>
    </w:p>
    <w:p w:rsidR="00034E24" w:rsidRPr="002F2CE0" w:rsidRDefault="00034E24" w:rsidP="00034E24">
      <w:pPr>
        <w:pStyle w:val="BodyA"/>
        <w:tabs>
          <w:tab w:val="left" w:pos="4320"/>
        </w:tabs>
        <w:ind w:left="0"/>
        <w:rPr>
          <w:rFonts w:ascii="Open Sans" w:hAnsi="Open Sans"/>
          <w:spacing w:val="-4"/>
        </w:rPr>
      </w:pPr>
      <w:r w:rsidRPr="00034E24">
        <w:rPr>
          <w:rFonts w:ascii="Open Sans" w:hAnsi="Open Sans"/>
        </w:rPr>
        <w:t xml:space="preserve">ET 1.310 - Compliance with </w:t>
      </w:r>
      <w:r w:rsidRPr="00034E24">
        <w:rPr>
          <w:rFonts w:ascii="Open Sans" w:hAnsi="Open Sans"/>
        </w:rPr>
        <w:tab/>
      </w:r>
      <w:r w:rsidRPr="002F2CE0">
        <w:rPr>
          <w:rFonts w:ascii="Open Sans" w:hAnsi="Open Sans"/>
          <w:spacing w:val="-4"/>
        </w:rPr>
        <w:t>No violation.</w:t>
      </w:r>
      <w:r w:rsidR="002F2CE0" w:rsidRPr="002F2CE0">
        <w:rPr>
          <w:rFonts w:ascii="Open Sans" w:hAnsi="Open Sans"/>
          <w:spacing w:val="-4"/>
        </w:rPr>
        <w:t xml:space="preserve"> </w:t>
      </w:r>
      <w:r w:rsidRPr="002F2CE0">
        <w:rPr>
          <w:rFonts w:ascii="Open Sans" w:hAnsi="Open Sans"/>
          <w:spacing w:val="-4"/>
        </w:rPr>
        <w:t>The Accounting and Review Services</w:t>
      </w:r>
    </w:p>
    <w:p w:rsidR="00034E24" w:rsidRPr="00034E24" w:rsidRDefault="00034E24" w:rsidP="002F2CE0">
      <w:pPr>
        <w:pStyle w:val="BodyA"/>
        <w:tabs>
          <w:tab w:val="clear" w:pos="540"/>
          <w:tab w:val="left" w:pos="4320"/>
        </w:tabs>
        <w:ind w:left="4320" w:hanging="4320"/>
        <w:rPr>
          <w:rFonts w:ascii="Open Sans" w:hAnsi="Open Sans"/>
        </w:rPr>
      </w:pPr>
      <w:r w:rsidRPr="00034E24">
        <w:rPr>
          <w:rFonts w:ascii="Open Sans" w:hAnsi="Open Sans"/>
        </w:rPr>
        <w:t>Standards.</w:t>
      </w:r>
      <w:r w:rsidR="002F2CE0">
        <w:rPr>
          <w:rFonts w:ascii="Open Sans" w:hAnsi="Open Sans"/>
        </w:rPr>
        <w:t xml:space="preserve"> </w:t>
      </w:r>
      <w:r w:rsidRPr="00034E24">
        <w:rPr>
          <w:rFonts w:ascii="Open Sans" w:hAnsi="Open Sans"/>
        </w:rPr>
        <w:tab/>
        <w:t>Committee is the body designated to promulgate standards for review services for nonpublic entities.</w:t>
      </w:r>
    </w:p>
    <w:p w:rsidR="00034E24" w:rsidRPr="00034E24" w:rsidRDefault="00034E24" w:rsidP="00034E24">
      <w:pPr>
        <w:pStyle w:val="BodyA"/>
        <w:tabs>
          <w:tab w:val="left" w:pos="4320"/>
        </w:tabs>
        <w:ind w:left="4320" w:hanging="4320"/>
        <w:rPr>
          <w:rFonts w:ascii="Open Sans" w:hAnsi="Open Sans"/>
        </w:rPr>
      </w:pPr>
    </w:p>
    <w:p w:rsidR="00034E24" w:rsidRPr="00034E24" w:rsidRDefault="00034E24" w:rsidP="00034E24">
      <w:pPr>
        <w:pStyle w:val="BodyA"/>
        <w:tabs>
          <w:tab w:val="left" w:pos="4320"/>
        </w:tabs>
        <w:ind w:left="4320" w:hanging="4320"/>
        <w:rPr>
          <w:rFonts w:ascii="Open Sans" w:hAnsi="Open Sans"/>
        </w:rPr>
      </w:pPr>
      <w:r w:rsidRPr="00034E24">
        <w:rPr>
          <w:rFonts w:ascii="Open Sans" w:hAnsi="Open Sans"/>
          <w:lang w:val="pt-PT"/>
        </w:rPr>
        <w:t>14.</w:t>
      </w:r>
      <w:r w:rsidR="002F2CE0">
        <w:rPr>
          <w:rFonts w:ascii="Open Sans" w:hAnsi="Open Sans"/>
          <w:lang w:val="pt-PT"/>
        </w:rPr>
        <w:t xml:space="preserve"> </w:t>
      </w:r>
      <w:r w:rsidRPr="00034E24">
        <w:rPr>
          <w:rFonts w:ascii="Open Sans" w:hAnsi="Open Sans"/>
          <w:lang w:val="pt-PT"/>
        </w:rPr>
        <w:t xml:space="preserve">ET 1.200 - Independence </w:t>
      </w:r>
      <w:r w:rsidRPr="00034E24">
        <w:rPr>
          <w:rFonts w:ascii="Open Sans" w:hAnsi="Open Sans"/>
          <w:lang w:val="pt-PT"/>
        </w:rPr>
        <w:tab/>
        <w:t>Violation.</w:t>
      </w:r>
      <w:r w:rsidR="002F2CE0">
        <w:rPr>
          <w:rFonts w:ascii="Open Sans" w:hAnsi="Open Sans"/>
          <w:lang w:val="pt-PT"/>
        </w:rPr>
        <w:t xml:space="preserve"> </w:t>
      </w:r>
      <w:r w:rsidRPr="00034E24">
        <w:rPr>
          <w:rFonts w:ascii="Open Sans" w:hAnsi="Open Sans"/>
          <w:lang w:val="pt-PT"/>
        </w:rPr>
        <w:t>Interpretation 1.295 states a member</w:t>
      </w:r>
      <w:r>
        <w:rPr>
          <w:rFonts w:ascii="Arial Unicode MS" w:hAnsi="Arial Unicode MS"/>
          <w:rtl/>
          <w:lang w:val="ar-SA"/>
        </w:rPr>
        <w:t>’</w:t>
      </w:r>
      <w:r w:rsidRPr="00034E24">
        <w:rPr>
          <w:rFonts w:ascii="Open Sans" w:hAnsi="Open Sans"/>
        </w:rPr>
        <w:t>s independence is impaired by serving in the capacity of making management decisions for a bank client.</w:t>
      </w:r>
    </w:p>
    <w:p w:rsidR="00034E24" w:rsidRPr="00034E24" w:rsidRDefault="00034E24" w:rsidP="00034E24">
      <w:pPr>
        <w:pStyle w:val="BodyA"/>
        <w:tabs>
          <w:tab w:val="left" w:pos="4320"/>
        </w:tabs>
        <w:ind w:left="4320" w:hanging="4320"/>
        <w:rPr>
          <w:rFonts w:ascii="Open Sans" w:hAnsi="Open Sans"/>
        </w:rPr>
      </w:pPr>
    </w:p>
    <w:p w:rsidR="002F2CE0" w:rsidRDefault="00034E24" w:rsidP="00034E24">
      <w:pPr>
        <w:pStyle w:val="BodyA"/>
        <w:ind w:left="0"/>
        <w:rPr>
          <w:rFonts w:ascii="Open Sans" w:hAnsi="Open Sans"/>
        </w:rPr>
      </w:pPr>
      <w:r w:rsidRPr="00034E24">
        <w:rPr>
          <w:rFonts w:ascii="Open Sans" w:hAnsi="Open Sans"/>
        </w:rPr>
        <w:t>15.</w:t>
      </w:r>
      <w:r w:rsidR="002F2CE0">
        <w:rPr>
          <w:rFonts w:ascii="Open Sans" w:hAnsi="Open Sans"/>
        </w:rPr>
        <w:t xml:space="preserve"> </w:t>
      </w:r>
      <w:r w:rsidRPr="00034E24">
        <w:rPr>
          <w:rFonts w:ascii="Open Sans" w:hAnsi="Open Sans"/>
        </w:rPr>
        <w:t xml:space="preserve">ET 1.520 - Commissions and </w:t>
      </w:r>
      <w:r w:rsidRPr="00034E24">
        <w:rPr>
          <w:rFonts w:ascii="Open Sans" w:hAnsi="Open Sans"/>
        </w:rPr>
        <w:tab/>
      </w:r>
      <w:r w:rsidRPr="00034E24">
        <w:rPr>
          <w:rFonts w:ascii="Open Sans" w:hAnsi="Open Sans"/>
        </w:rPr>
        <w:tab/>
        <w:t>Indeterminate.</w:t>
      </w:r>
      <w:r w:rsidR="002F2CE0">
        <w:rPr>
          <w:rFonts w:ascii="Open Sans" w:hAnsi="Open Sans"/>
        </w:rPr>
        <w:t xml:space="preserve"> </w:t>
      </w:r>
      <w:r w:rsidRPr="00034E24">
        <w:rPr>
          <w:rFonts w:ascii="Open Sans" w:hAnsi="Open Sans"/>
        </w:rPr>
        <w:t>A member is allowed to pay a</w:t>
      </w:r>
    </w:p>
    <w:p w:rsidR="00034E24" w:rsidRPr="00034E24" w:rsidRDefault="00034E24" w:rsidP="00034E24">
      <w:pPr>
        <w:pStyle w:val="BodyA"/>
        <w:tabs>
          <w:tab w:val="left" w:pos="4320"/>
        </w:tabs>
        <w:ind w:left="4320" w:hanging="4320"/>
        <w:rPr>
          <w:rFonts w:ascii="Open Sans" w:hAnsi="Open Sans"/>
        </w:rPr>
      </w:pPr>
      <w:r w:rsidRPr="00034E24">
        <w:rPr>
          <w:rFonts w:ascii="Open Sans" w:hAnsi="Open Sans"/>
        </w:rPr>
        <w:t>Referral Fees</w:t>
      </w:r>
      <w:r w:rsidRPr="00034E24">
        <w:rPr>
          <w:rFonts w:ascii="Open Sans" w:hAnsi="Open Sans"/>
          <w:strike/>
        </w:rPr>
        <w:t>.</w:t>
      </w:r>
      <w:r w:rsidRPr="00034E24">
        <w:rPr>
          <w:rFonts w:ascii="Open Sans" w:hAnsi="Open Sans"/>
        </w:rPr>
        <w:tab/>
      </w:r>
      <w:proofErr w:type="gramStart"/>
      <w:r w:rsidRPr="00034E24">
        <w:rPr>
          <w:rFonts w:ascii="Open Sans" w:hAnsi="Open Sans"/>
        </w:rPr>
        <w:t>commission</w:t>
      </w:r>
      <w:proofErr w:type="gramEnd"/>
      <w:r w:rsidRPr="00034E24">
        <w:rPr>
          <w:rFonts w:ascii="Open Sans" w:hAnsi="Open Sans"/>
        </w:rPr>
        <w:t xml:space="preserve"> to another CPA or another third party to obtain a client provided disclosure is made to the client.</w:t>
      </w:r>
    </w:p>
    <w:p w:rsidR="002F2CE0" w:rsidRDefault="00034E24" w:rsidP="00034E24">
      <w:pPr>
        <w:pStyle w:val="BodyA"/>
        <w:ind w:left="0"/>
        <w:rPr>
          <w:rFonts w:ascii="Open Sans" w:hAnsi="Open Sans"/>
          <w:sz w:val="18"/>
          <w:szCs w:val="18"/>
        </w:rPr>
      </w:pPr>
      <w:r w:rsidRPr="00034E24">
        <w:rPr>
          <w:rFonts w:ascii="Open Sans" w:hAnsi="Open Sans"/>
          <w:sz w:val="18"/>
          <w:szCs w:val="18"/>
        </w:rPr>
        <w:t>LO 4</w:t>
      </w:r>
      <w:proofErr w:type="gramStart"/>
      <w:r w:rsidRPr="00034E24">
        <w:rPr>
          <w:rFonts w:ascii="Open Sans" w:hAnsi="Open Sans"/>
          <w:sz w:val="18"/>
          <w:szCs w:val="18"/>
        </w:rPr>
        <w:t>,5,6</w:t>
      </w:r>
      <w:proofErr w:type="gramEnd"/>
      <w:r w:rsidRPr="00034E24">
        <w:rPr>
          <w:rFonts w:ascii="Open Sans" w:hAnsi="Open Sans"/>
          <w:sz w:val="18"/>
          <w:szCs w:val="18"/>
        </w:rPr>
        <w:t xml:space="preserve"> &amp; 7.</w:t>
      </w:r>
      <w:r w:rsidR="002F2CE0">
        <w:rPr>
          <w:rFonts w:ascii="Open Sans" w:hAnsi="Open Sans"/>
          <w:sz w:val="18"/>
          <w:szCs w:val="18"/>
        </w:rPr>
        <w:t xml:space="preserve"> </w:t>
      </w:r>
      <w:r w:rsidRPr="00034E24">
        <w:rPr>
          <w:rFonts w:ascii="Open Sans" w:hAnsi="Open Sans"/>
          <w:sz w:val="18"/>
          <w:szCs w:val="18"/>
        </w:rPr>
        <w:t>BT</w:t>
      </w:r>
      <w:proofErr w:type="gramStart"/>
      <w:r w:rsidRPr="00034E24">
        <w:rPr>
          <w:rFonts w:ascii="Open Sans" w:hAnsi="Open Sans"/>
          <w:sz w:val="18"/>
          <w:szCs w:val="18"/>
        </w:rPr>
        <w:t>:E</w:t>
      </w:r>
      <w:proofErr w:type="gramEnd"/>
      <w:r w:rsidRPr="00034E24">
        <w:rPr>
          <w:rFonts w:ascii="Open Sans" w:hAnsi="Open Sans"/>
          <w:sz w:val="18"/>
          <w:szCs w:val="18"/>
        </w:rPr>
        <w:t>, Difficulty: Moderate, TOT: 35 min., AACSB: Ethics, AICPA PC: Ethics, Decision Making</w:t>
      </w:r>
    </w:p>
    <w:p w:rsidR="00034E24" w:rsidRPr="00034E24" w:rsidRDefault="00034E24" w:rsidP="00034E24">
      <w:pPr>
        <w:pStyle w:val="BodyA"/>
        <w:tabs>
          <w:tab w:val="left" w:pos="4320"/>
        </w:tabs>
        <w:ind w:left="4320" w:hanging="4320"/>
        <w:rPr>
          <w:rFonts w:ascii="Open Sans" w:hAnsi="Open Sans"/>
        </w:rPr>
      </w:pPr>
    </w:p>
    <w:p w:rsidR="00034E24" w:rsidRPr="00034E24" w:rsidRDefault="00034E24" w:rsidP="00034E24">
      <w:pPr>
        <w:pStyle w:val="BodyA"/>
        <w:ind w:left="0"/>
        <w:rPr>
          <w:rFonts w:ascii="Open Sans" w:hAnsi="Open Sans"/>
        </w:rPr>
      </w:pPr>
      <w:r w:rsidRPr="00034E24">
        <w:rPr>
          <w:rFonts w:ascii="Open Sans" w:hAnsi="Open Sans"/>
          <w:b/>
          <w:bCs/>
        </w:rPr>
        <w:t>AP2.5</w:t>
      </w:r>
    </w:p>
    <w:p w:rsidR="00034E24" w:rsidRPr="00034E24" w:rsidRDefault="00034E24" w:rsidP="002F2CE0">
      <w:pPr>
        <w:pStyle w:val="BodyA"/>
        <w:tabs>
          <w:tab w:val="clear" w:pos="540"/>
        </w:tabs>
        <w:ind w:left="547" w:hanging="547"/>
        <w:rPr>
          <w:rFonts w:ascii="Open Sans" w:hAnsi="Open Sans"/>
        </w:rPr>
      </w:pPr>
      <w:r w:rsidRPr="00034E24">
        <w:rPr>
          <w:rFonts w:ascii="Open Sans" w:hAnsi="Open Sans"/>
        </w:rPr>
        <w:t>1.</w:t>
      </w:r>
      <w:r w:rsidR="002F2CE0">
        <w:rPr>
          <w:rFonts w:ascii="Open Sans" w:hAnsi="Open Sans"/>
        </w:rPr>
        <w:tab/>
      </w:r>
      <w:r w:rsidRPr="00034E24">
        <w:rPr>
          <w:rFonts w:ascii="Open Sans" w:hAnsi="Open Sans"/>
        </w:rPr>
        <w:t>A member of the AICPA may practice public accounting in any form of organization permitted by state law or regulation as long as the characteristics of the organization conform to a resolution adopted by the Council of the AICPA.</w:t>
      </w:r>
      <w:r w:rsidR="002F2CE0">
        <w:rPr>
          <w:rFonts w:ascii="Open Sans" w:hAnsi="Open Sans"/>
        </w:rPr>
        <w:t xml:space="preserve"> </w:t>
      </w:r>
      <w:r w:rsidRPr="00034E24">
        <w:rPr>
          <w:rFonts w:ascii="Open Sans" w:hAnsi="Open Sans"/>
        </w:rPr>
        <w:t>CPAs must own the majority (greater than 50 percent) of the financial interests in an attest firm.</w:t>
      </w:r>
      <w:r w:rsidR="002F2CE0">
        <w:rPr>
          <w:rFonts w:ascii="Open Sans" w:hAnsi="Open Sans"/>
        </w:rPr>
        <w:t xml:space="preserve"> </w:t>
      </w:r>
      <w:r w:rsidRPr="00034E24">
        <w:rPr>
          <w:rFonts w:ascii="Open Sans" w:hAnsi="Open Sans"/>
        </w:rPr>
        <w:t>Non-CPA owners must be actively engaged in providing services to the firm</w:t>
      </w:r>
      <w:r>
        <w:rPr>
          <w:rFonts w:ascii="Arial Unicode MS" w:hAnsi="Arial Unicode MS"/>
          <w:rtl/>
          <w:lang w:val="ar-SA"/>
        </w:rPr>
        <w:t>’</w:t>
      </w:r>
      <w:r w:rsidRPr="00034E24">
        <w:rPr>
          <w:rFonts w:ascii="Open Sans" w:hAnsi="Open Sans"/>
        </w:rPr>
        <w:t>s clients as their principal occupation.</w:t>
      </w:r>
      <w:r w:rsidR="002F2CE0">
        <w:rPr>
          <w:rFonts w:ascii="Open Sans" w:hAnsi="Open Sans"/>
        </w:rPr>
        <w:t xml:space="preserve"> </w:t>
      </w:r>
      <w:r w:rsidRPr="00034E24">
        <w:rPr>
          <w:rFonts w:ascii="Open Sans" w:hAnsi="Open Sans"/>
        </w:rPr>
        <w:t>Bradley</w:t>
      </w:r>
      <w:r>
        <w:rPr>
          <w:rFonts w:ascii="Arial Unicode MS" w:hAnsi="Arial Unicode MS"/>
          <w:rtl/>
          <w:lang w:val="ar-SA"/>
        </w:rPr>
        <w:t>’</w:t>
      </w:r>
      <w:r w:rsidRPr="00034E24">
        <w:rPr>
          <w:rFonts w:ascii="Open Sans" w:hAnsi="Open Sans"/>
        </w:rPr>
        <w:t>s 50% ownership and provision of insurance services rather than professional accounting services, violates this characteristic.</w:t>
      </w:r>
    </w:p>
    <w:p w:rsidR="00034E24" w:rsidRPr="00034E24" w:rsidRDefault="00034E24" w:rsidP="00034E24">
      <w:pPr>
        <w:pStyle w:val="BodyA"/>
        <w:tabs>
          <w:tab w:val="left" w:pos="4320"/>
        </w:tabs>
        <w:ind w:left="4320" w:hanging="4320"/>
        <w:rPr>
          <w:rFonts w:ascii="Open Sans" w:hAnsi="Open Sans"/>
        </w:rPr>
      </w:pPr>
    </w:p>
    <w:p w:rsidR="00034E24" w:rsidRPr="002F2CE0" w:rsidRDefault="00034E24" w:rsidP="002F2CE0">
      <w:pPr>
        <w:pStyle w:val="BodyA"/>
        <w:tabs>
          <w:tab w:val="clear" w:pos="540"/>
        </w:tabs>
        <w:ind w:left="547" w:hanging="547"/>
        <w:rPr>
          <w:rFonts w:ascii="Open Sans" w:hAnsi="Open Sans"/>
          <w:spacing w:val="-4"/>
        </w:rPr>
      </w:pPr>
      <w:r w:rsidRPr="00034E24">
        <w:rPr>
          <w:rFonts w:ascii="Open Sans" w:hAnsi="Open Sans"/>
        </w:rPr>
        <w:t>2.</w:t>
      </w:r>
      <w:r w:rsidR="002F2CE0">
        <w:rPr>
          <w:rFonts w:ascii="Open Sans" w:hAnsi="Open Sans"/>
        </w:rPr>
        <w:tab/>
      </w:r>
      <w:r w:rsidRPr="002F2CE0">
        <w:rPr>
          <w:rFonts w:ascii="Open Sans" w:hAnsi="Open Sans"/>
          <w:spacing w:val="-4"/>
        </w:rPr>
        <w:t>A member in the practice of public accounting may have a financial interest in a commercial corporation which performs, for the public, services of a type performed by public accountants and whose characteristics do not conform to resolutions of the Council, provided such interest is not material to the corporation</w:t>
      </w:r>
      <w:r w:rsidRPr="002F2CE0">
        <w:rPr>
          <w:rFonts w:ascii="Arial Unicode MS" w:hAnsi="Arial Unicode MS"/>
          <w:spacing w:val="-4"/>
          <w:rtl/>
          <w:lang w:val="ar-SA"/>
        </w:rPr>
        <w:t>’</w:t>
      </w:r>
      <w:r w:rsidRPr="002F2CE0">
        <w:rPr>
          <w:rFonts w:ascii="Open Sans" w:hAnsi="Open Sans"/>
          <w:spacing w:val="-4"/>
        </w:rPr>
        <w:t>s net worth, and the member</w:t>
      </w:r>
      <w:r w:rsidRPr="002F2CE0">
        <w:rPr>
          <w:rFonts w:ascii="Arial Unicode MS" w:hAnsi="Arial Unicode MS"/>
          <w:spacing w:val="-4"/>
          <w:rtl/>
          <w:lang w:val="ar-SA"/>
        </w:rPr>
        <w:t>’</w:t>
      </w:r>
      <w:r w:rsidRPr="002F2CE0">
        <w:rPr>
          <w:rFonts w:ascii="Open Sans" w:hAnsi="Open Sans"/>
          <w:spacing w:val="-4"/>
        </w:rPr>
        <w:t>s interest in and relation to the corporation is solely that of an investor.</w:t>
      </w:r>
      <w:r w:rsidR="002F2CE0" w:rsidRPr="002F2CE0">
        <w:rPr>
          <w:rFonts w:ascii="Open Sans" w:hAnsi="Open Sans"/>
          <w:spacing w:val="-4"/>
        </w:rPr>
        <w:t xml:space="preserve"> </w:t>
      </w:r>
      <w:r w:rsidR="002F2CE0">
        <w:rPr>
          <w:rFonts w:ascii="Open Sans" w:hAnsi="Open Sans"/>
          <w:spacing w:val="-4"/>
        </w:rPr>
        <w:br/>
      </w:r>
      <w:r w:rsidRPr="002F2CE0">
        <w:rPr>
          <w:rFonts w:ascii="Open Sans" w:hAnsi="Open Sans"/>
          <w:spacing w:val="-4"/>
        </w:rPr>
        <w:t>Certainly, Gilbert</w:t>
      </w:r>
      <w:r w:rsidRPr="002F2CE0">
        <w:rPr>
          <w:rFonts w:ascii="Arial Unicode MS" w:hAnsi="Arial Unicode MS"/>
          <w:spacing w:val="-4"/>
          <w:rtl/>
          <w:lang w:val="ar-SA"/>
        </w:rPr>
        <w:t>’</w:t>
      </w:r>
      <w:r w:rsidRPr="002F2CE0">
        <w:rPr>
          <w:rFonts w:ascii="Open Sans" w:hAnsi="Open Sans"/>
          <w:spacing w:val="-4"/>
          <w:lang w:val="pt-PT"/>
        </w:rPr>
        <w:t>s 50</w:t>
      </w:r>
      <w:r w:rsidRPr="002F2CE0">
        <w:rPr>
          <w:rFonts w:ascii="Open Sans" w:hAnsi="Open Sans"/>
          <w:spacing w:val="-4"/>
        </w:rPr>
        <w:t>%</w:t>
      </w:r>
      <w:r w:rsidRPr="002F2CE0">
        <w:rPr>
          <w:rFonts w:ascii="Open Sans" w:hAnsi="Open Sans"/>
          <w:color w:val="FF0000"/>
          <w:spacing w:val="-4"/>
          <w:u w:color="FF0000"/>
        </w:rPr>
        <w:t xml:space="preserve"> </w:t>
      </w:r>
      <w:r w:rsidRPr="002F2CE0">
        <w:rPr>
          <w:rFonts w:ascii="Open Sans" w:hAnsi="Open Sans"/>
          <w:spacing w:val="-4"/>
        </w:rPr>
        <w:t>interest is material to Financial Services, Inc., and Gilbert</w:t>
      </w:r>
      <w:r w:rsidRPr="002F2CE0">
        <w:rPr>
          <w:rFonts w:ascii="Arial Unicode MS" w:hAnsi="Arial Unicode MS"/>
          <w:spacing w:val="-4"/>
          <w:rtl/>
          <w:lang w:val="ar-SA"/>
        </w:rPr>
        <w:t>’</w:t>
      </w:r>
      <w:r w:rsidRPr="002F2CE0">
        <w:rPr>
          <w:rFonts w:ascii="Open Sans" w:hAnsi="Open Sans"/>
          <w:spacing w:val="-4"/>
        </w:rPr>
        <w:t>s status is not that of an investor.</w:t>
      </w:r>
      <w:r w:rsidR="002F2CE0" w:rsidRPr="002F2CE0">
        <w:rPr>
          <w:rFonts w:ascii="Open Sans" w:hAnsi="Open Sans"/>
          <w:spacing w:val="-4"/>
        </w:rPr>
        <w:t xml:space="preserve"> </w:t>
      </w:r>
      <w:r w:rsidRPr="002F2CE0">
        <w:rPr>
          <w:rFonts w:ascii="Open Sans" w:hAnsi="Open Sans"/>
          <w:spacing w:val="-4"/>
        </w:rPr>
        <w:t>In this respect, Gilbert is in violation of Interpretation 1.800.</w:t>
      </w:r>
    </w:p>
    <w:p w:rsidR="00034E24" w:rsidRPr="00034E24" w:rsidRDefault="00034E24" w:rsidP="00034E24">
      <w:pPr>
        <w:pStyle w:val="BodyA"/>
        <w:tabs>
          <w:tab w:val="left" w:pos="4320"/>
        </w:tabs>
        <w:ind w:left="4320" w:hanging="4320"/>
        <w:rPr>
          <w:rFonts w:ascii="Open Sans" w:hAnsi="Open Sans"/>
        </w:rPr>
      </w:pPr>
    </w:p>
    <w:p w:rsidR="00034E24" w:rsidRPr="00034E24" w:rsidRDefault="00034E24" w:rsidP="002F2CE0">
      <w:pPr>
        <w:pStyle w:val="BodyA"/>
        <w:tabs>
          <w:tab w:val="clear" w:pos="540"/>
        </w:tabs>
        <w:ind w:left="547" w:hanging="547"/>
        <w:rPr>
          <w:rFonts w:ascii="Open Sans" w:hAnsi="Open Sans"/>
        </w:rPr>
      </w:pPr>
      <w:r w:rsidRPr="00034E24">
        <w:rPr>
          <w:rFonts w:ascii="Open Sans" w:hAnsi="Open Sans"/>
        </w:rPr>
        <w:t>3.</w:t>
      </w:r>
      <w:r w:rsidR="002F2CE0">
        <w:rPr>
          <w:rFonts w:ascii="Open Sans" w:hAnsi="Open Sans"/>
        </w:rPr>
        <w:tab/>
      </w:r>
      <w:r w:rsidRPr="00034E24">
        <w:rPr>
          <w:rFonts w:ascii="Open Sans" w:hAnsi="Open Sans"/>
        </w:rPr>
        <w:t xml:space="preserve">Expressing an unqualified opinion on </w:t>
      </w:r>
      <w:proofErr w:type="spellStart"/>
      <w:r w:rsidRPr="00034E24">
        <w:rPr>
          <w:rFonts w:ascii="Open Sans" w:hAnsi="Open Sans"/>
        </w:rPr>
        <w:t>Grandtime</w:t>
      </w:r>
      <w:proofErr w:type="spellEnd"/>
      <w:r>
        <w:rPr>
          <w:rFonts w:ascii="Arial Unicode MS" w:hAnsi="Arial Unicode MS"/>
          <w:rtl/>
          <w:lang w:val="ar-SA"/>
        </w:rPr>
        <w:t>’</w:t>
      </w:r>
      <w:r w:rsidRPr="00034E24">
        <w:rPr>
          <w:rFonts w:ascii="Open Sans" w:hAnsi="Open Sans"/>
        </w:rPr>
        <w:t>s financial statements, which did not disclose a material lien on the building asset, is a violation of both Rule 1.310 (Compliance with Standards) and Rule 1.320 (Accounting Principles).</w:t>
      </w:r>
      <w:r w:rsidR="002F2CE0">
        <w:rPr>
          <w:rFonts w:ascii="Open Sans" w:hAnsi="Open Sans"/>
        </w:rPr>
        <w:t xml:space="preserve"> </w:t>
      </w:r>
      <w:r w:rsidRPr="00034E24">
        <w:rPr>
          <w:rFonts w:ascii="Open Sans" w:hAnsi="Open Sans"/>
        </w:rPr>
        <w:t>Rule 1.310 includes auditing standards promulgated by the Auditing Standards Board.</w:t>
      </w:r>
      <w:r w:rsidR="002F2CE0">
        <w:rPr>
          <w:rFonts w:ascii="Open Sans" w:hAnsi="Open Sans"/>
        </w:rPr>
        <w:t xml:space="preserve"> </w:t>
      </w:r>
      <w:r w:rsidRPr="00034E24">
        <w:rPr>
          <w:rFonts w:ascii="Open Sans" w:hAnsi="Open Sans"/>
        </w:rPr>
        <w:t>These standards include the requirement that a member shall not permit his or her name to be associated with financial statements unless the member has complied with Generally Accepted Auditing Standards (GAAS).</w:t>
      </w:r>
      <w:r w:rsidR="002F2CE0">
        <w:rPr>
          <w:rFonts w:ascii="Open Sans" w:hAnsi="Open Sans"/>
        </w:rPr>
        <w:t xml:space="preserve"> </w:t>
      </w:r>
      <w:r w:rsidRPr="00034E24">
        <w:rPr>
          <w:rFonts w:ascii="Open Sans" w:hAnsi="Open Sans"/>
        </w:rPr>
        <w:t xml:space="preserve">The third standard of reporting states that informative disclosures are to be regarded as reasonably adequate unless </w:t>
      </w:r>
      <w:r w:rsidRPr="00034E24">
        <w:rPr>
          <w:rFonts w:ascii="Open Sans" w:hAnsi="Open Sans"/>
        </w:rPr>
        <w:lastRenderedPageBreak/>
        <w:t>otherwise stated in the report.</w:t>
      </w:r>
      <w:r w:rsidR="002F2CE0">
        <w:rPr>
          <w:rFonts w:ascii="Open Sans" w:hAnsi="Open Sans"/>
        </w:rPr>
        <w:t xml:space="preserve"> </w:t>
      </w:r>
      <w:r w:rsidRPr="00034E24">
        <w:rPr>
          <w:rFonts w:ascii="Open Sans" w:hAnsi="Open Sans"/>
        </w:rPr>
        <w:t>Since there was no disclosure of the building lien in the financial statements, Gilbert should have qualified his opinion.</w:t>
      </w:r>
    </w:p>
    <w:p w:rsidR="00034E24" w:rsidRPr="00034E24" w:rsidRDefault="00034E24" w:rsidP="00034E24">
      <w:pPr>
        <w:pStyle w:val="BodyA"/>
        <w:tabs>
          <w:tab w:val="left" w:pos="4320"/>
        </w:tabs>
        <w:ind w:left="4320" w:hanging="4320"/>
        <w:rPr>
          <w:rFonts w:ascii="Open Sans" w:hAnsi="Open Sans"/>
        </w:rPr>
      </w:pPr>
    </w:p>
    <w:p w:rsidR="00034E24" w:rsidRPr="00034E24" w:rsidRDefault="00034E24" w:rsidP="002F2CE0">
      <w:pPr>
        <w:pStyle w:val="BodyA"/>
        <w:ind w:left="547"/>
        <w:rPr>
          <w:rFonts w:ascii="Open Sans" w:hAnsi="Open Sans"/>
        </w:rPr>
      </w:pPr>
      <w:r w:rsidRPr="00034E24">
        <w:rPr>
          <w:rFonts w:ascii="Open Sans" w:hAnsi="Open Sans"/>
        </w:rPr>
        <w:t>ET 1.320 requires that a member shall not express an opinion that financial statements are presented in conformity with generally accepted accounting principles (GAAP) if such statements contain any departure from an accounting principle promulgated by the body designated by Council to establish such principles.</w:t>
      </w:r>
      <w:r w:rsidR="002F2CE0">
        <w:rPr>
          <w:rFonts w:ascii="Open Sans" w:hAnsi="Open Sans"/>
        </w:rPr>
        <w:t xml:space="preserve"> </w:t>
      </w:r>
      <w:r w:rsidRPr="00034E24">
        <w:rPr>
          <w:rFonts w:ascii="Open Sans" w:hAnsi="Open Sans"/>
        </w:rPr>
        <w:t>GAAP requires disclosure of assets pledged as security for loans.</w:t>
      </w:r>
    </w:p>
    <w:p w:rsidR="00034E24" w:rsidRPr="00034E24" w:rsidRDefault="00034E24" w:rsidP="00034E24">
      <w:pPr>
        <w:pStyle w:val="BodyA"/>
        <w:tabs>
          <w:tab w:val="left" w:pos="4320"/>
        </w:tabs>
        <w:ind w:left="4320" w:hanging="4320"/>
        <w:rPr>
          <w:rFonts w:ascii="Open Sans" w:hAnsi="Open Sans"/>
        </w:rPr>
      </w:pPr>
    </w:p>
    <w:p w:rsidR="00034E24" w:rsidRPr="00034E24" w:rsidRDefault="00034E24" w:rsidP="002F2CE0">
      <w:pPr>
        <w:pStyle w:val="BodyA"/>
        <w:tabs>
          <w:tab w:val="clear" w:pos="540"/>
        </w:tabs>
        <w:ind w:left="547" w:hanging="547"/>
        <w:rPr>
          <w:rFonts w:ascii="Open Sans" w:hAnsi="Open Sans"/>
        </w:rPr>
      </w:pPr>
      <w:r w:rsidRPr="00034E24">
        <w:rPr>
          <w:rFonts w:ascii="Open Sans" w:hAnsi="Open Sans"/>
        </w:rPr>
        <w:t>4.</w:t>
      </w:r>
      <w:r w:rsidR="002F2CE0">
        <w:rPr>
          <w:rFonts w:ascii="Open Sans" w:hAnsi="Open Sans"/>
        </w:rPr>
        <w:tab/>
      </w:r>
      <w:r w:rsidRPr="00034E24">
        <w:rPr>
          <w:rFonts w:ascii="Open Sans" w:hAnsi="Open Sans"/>
        </w:rPr>
        <w:t xml:space="preserve">Having Bradley inform the insurance company of the prior lien on </w:t>
      </w:r>
      <w:proofErr w:type="spellStart"/>
      <w:r w:rsidRPr="00034E24">
        <w:rPr>
          <w:rFonts w:ascii="Open Sans" w:hAnsi="Open Sans"/>
        </w:rPr>
        <w:t>Grandtime</w:t>
      </w:r>
      <w:proofErr w:type="spellEnd"/>
      <w:r>
        <w:rPr>
          <w:rFonts w:ascii="Arial Unicode MS" w:hAnsi="Arial Unicode MS"/>
          <w:rtl/>
          <w:lang w:val="ar-SA"/>
        </w:rPr>
        <w:t>’</w:t>
      </w:r>
      <w:r w:rsidRPr="00034E24">
        <w:rPr>
          <w:rFonts w:ascii="Open Sans" w:hAnsi="Open Sans"/>
        </w:rPr>
        <w:t>s building is a violation of ET 1.700 of the Code, which enjoins a member from violating the confidential relationship between himself and his client without consent of the client.</w:t>
      </w:r>
      <w:r w:rsidR="002F2CE0">
        <w:rPr>
          <w:rFonts w:ascii="Open Sans" w:hAnsi="Open Sans"/>
        </w:rPr>
        <w:t xml:space="preserve"> </w:t>
      </w:r>
      <w:r w:rsidRPr="00034E24">
        <w:rPr>
          <w:rFonts w:ascii="Open Sans" w:hAnsi="Open Sans"/>
        </w:rPr>
        <w:t>The lien should have been disclosed in Gilbert</w:t>
      </w:r>
      <w:r>
        <w:rPr>
          <w:rFonts w:ascii="Arial Unicode MS" w:hAnsi="Arial Unicode MS"/>
          <w:rtl/>
          <w:lang w:val="ar-SA"/>
        </w:rPr>
        <w:t>’</w:t>
      </w:r>
      <w:r w:rsidRPr="00034E24">
        <w:rPr>
          <w:rFonts w:ascii="Open Sans" w:hAnsi="Open Sans"/>
          <w:lang w:val="da-DK"/>
        </w:rPr>
        <w:t>s report on Grandtime</w:t>
      </w:r>
      <w:r>
        <w:rPr>
          <w:rFonts w:ascii="Arial Unicode MS" w:hAnsi="Arial Unicode MS"/>
          <w:rtl/>
          <w:lang w:val="ar-SA"/>
        </w:rPr>
        <w:t>’</w:t>
      </w:r>
      <w:r w:rsidRPr="00034E24">
        <w:rPr>
          <w:rFonts w:ascii="Open Sans" w:hAnsi="Open Sans"/>
        </w:rPr>
        <w:t>s statements, but it may not be disclosed by him independently to a third party unless the client agrees to such disclosure.</w:t>
      </w:r>
    </w:p>
    <w:p w:rsidR="00034E24" w:rsidRPr="00034E24" w:rsidRDefault="00034E24" w:rsidP="00034E24">
      <w:pPr>
        <w:pStyle w:val="BodyA"/>
        <w:tabs>
          <w:tab w:val="clear" w:pos="540"/>
        </w:tabs>
        <w:rPr>
          <w:rFonts w:ascii="Open Sans" w:hAnsi="Open Sans"/>
        </w:rPr>
      </w:pPr>
    </w:p>
    <w:p w:rsidR="00034E24" w:rsidRPr="00034E24" w:rsidRDefault="00034E24" w:rsidP="002F2CE0">
      <w:pPr>
        <w:pStyle w:val="BodyA"/>
        <w:tabs>
          <w:tab w:val="clear" w:pos="540"/>
        </w:tabs>
        <w:ind w:left="547"/>
        <w:rPr>
          <w:rFonts w:ascii="Open Sans" w:hAnsi="Open Sans"/>
        </w:rPr>
      </w:pPr>
      <w:r w:rsidRPr="00034E24">
        <w:rPr>
          <w:rFonts w:ascii="Open Sans" w:hAnsi="Open Sans"/>
        </w:rPr>
        <w:t>However, ET 1.700 should not be interpreted to preclude a CPA from correcting a previous error.</w:t>
      </w:r>
      <w:r w:rsidR="002F2CE0">
        <w:rPr>
          <w:rFonts w:ascii="Open Sans" w:hAnsi="Open Sans"/>
        </w:rPr>
        <w:t xml:space="preserve"> </w:t>
      </w:r>
      <w:r w:rsidRPr="00034E24">
        <w:rPr>
          <w:rFonts w:ascii="Open Sans" w:hAnsi="Open Sans"/>
        </w:rPr>
        <w:t>In this case, Gilbert</w:t>
      </w:r>
      <w:r>
        <w:rPr>
          <w:rFonts w:ascii="Arial Unicode MS" w:hAnsi="Arial Unicode MS"/>
          <w:rtl/>
          <w:lang w:val="ar-SA"/>
        </w:rPr>
        <w:t>’</w:t>
      </w:r>
      <w:r w:rsidRPr="00034E24">
        <w:rPr>
          <w:rFonts w:ascii="Open Sans" w:hAnsi="Open Sans"/>
        </w:rPr>
        <w:t>s expressing an opinion that the financial statements were prepared in accordance with generally accepted accounting principles when, in fact, they were not, is a violation.</w:t>
      </w:r>
      <w:r w:rsidR="002F2CE0">
        <w:rPr>
          <w:rFonts w:ascii="Open Sans" w:hAnsi="Open Sans"/>
        </w:rPr>
        <w:t xml:space="preserve"> </w:t>
      </w:r>
      <w:r w:rsidRPr="00034E24">
        <w:rPr>
          <w:rFonts w:ascii="Open Sans" w:hAnsi="Open Sans"/>
        </w:rPr>
        <w:t xml:space="preserve">Gilbert should have first exhausted all means to persuade </w:t>
      </w:r>
      <w:proofErr w:type="spellStart"/>
      <w:r w:rsidRPr="00034E24">
        <w:rPr>
          <w:rFonts w:ascii="Open Sans" w:hAnsi="Open Sans"/>
        </w:rPr>
        <w:t>Grandtime</w:t>
      </w:r>
      <w:proofErr w:type="spellEnd"/>
      <w:r w:rsidRPr="00034E24">
        <w:rPr>
          <w:rFonts w:ascii="Open Sans" w:hAnsi="Open Sans"/>
        </w:rPr>
        <w:t xml:space="preserve"> to correct the error by recalling the original financial statements and reissuing them in corrected form with a new auditor</w:t>
      </w:r>
      <w:r>
        <w:rPr>
          <w:rFonts w:ascii="Arial Unicode MS" w:hAnsi="Arial Unicode MS"/>
          <w:rtl/>
          <w:lang w:val="ar-SA"/>
        </w:rPr>
        <w:t>’</w:t>
      </w:r>
      <w:r w:rsidRPr="00034E24">
        <w:rPr>
          <w:rFonts w:ascii="Open Sans" w:hAnsi="Open Sans"/>
          <w:lang w:val="pt-PT"/>
        </w:rPr>
        <w:t>s report.</w:t>
      </w:r>
    </w:p>
    <w:p w:rsidR="002F2CE0" w:rsidRDefault="00034E24" w:rsidP="00034E24">
      <w:pPr>
        <w:pStyle w:val="BodyA"/>
        <w:ind w:left="0"/>
        <w:rPr>
          <w:rFonts w:ascii="Open Sans" w:hAnsi="Open Sans"/>
          <w:sz w:val="18"/>
          <w:szCs w:val="18"/>
        </w:rPr>
      </w:pPr>
      <w:r w:rsidRPr="00034E24">
        <w:rPr>
          <w:rFonts w:ascii="Open Sans" w:hAnsi="Open Sans"/>
          <w:sz w:val="18"/>
          <w:szCs w:val="18"/>
        </w:rPr>
        <w:t>LO 4</w:t>
      </w:r>
      <w:proofErr w:type="gramStart"/>
      <w:r w:rsidRPr="00034E24">
        <w:rPr>
          <w:rFonts w:ascii="Open Sans" w:hAnsi="Open Sans"/>
          <w:sz w:val="18"/>
          <w:szCs w:val="18"/>
        </w:rPr>
        <w:t>,5,6</w:t>
      </w:r>
      <w:proofErr w:type="gramEnd"/>
      <w:r w:rsidRPr="00034E24">
        <w:rPr>
          <w:rFonts w:ascii="Open Sans" w:hAnsi="Open Sans"/>
          <w:sz w:val="18"/>
          <w:szCs w:val="18"/>
        </w:rPr>
        <w:t>,&amp; 7.</w:t>
      </w:r>
      <w:r w:rsidR="002F2CE0">
        <w:rPr>
          <w:rFonts w:ascii="Open Sans" w:hAnsi="Open Sans"/>
          <w:sz w:val="18"/>
          <w:szCs w:val="18"/>
        </w:rPr>
        <w:t xml:space="preserve"> </w:t>
      </w:r>
      <w:r w:rsidRPr="00034E24">
        <w:rPr>
          <w:rFonts w:ascii="Open Sans" w:hAnsi="Open Sans"/>
          <w:sz w:val="18"/>
          <w:szCs w:val="18"/>
        </w:rPr>
        <w:t>BT</w:t>
      </w:r>
      <w:proofErr w:type="gramStart"/>
      <w:r w:rsidRPr="00034E24">
        <w:rPr>
          <w:rFonts w:ascii="Open Sans" w:hAnsi="Open Sans"/>
          <w:sz w:val="18"/>
          <w:szCs w:val="18"/>
        </w:rPr>
        <w:t>:E</w:t>
      </w:r>
      <w:proofErr w:type="gramEnd"/>
      <w:r w:rsidRPr="00034E24">
        <w:rPr>
          <w:rFonts w:ascii="Open Sans" w:hAnsi="Open Sans"/>
          <w:sz w:val="18"/>
          <w:szCs w:val="18"/>
        </w:rPr>
        <w:t>, Difficulty: Challenging, TOT: 35 min., AACSB: Ethics, AICPA PC: Ethics, Decision Making</w:t>
      </w:r>
    </w:p>
    <w:p w:rsidR="00034E24" w:rsidRPr="00034E24" w:rsidRDefault="00034E24" w:rsidP="00034E24">
      <w:pPr>
        <w:pStyle w:val="BodyA"/>
        <w:ind w:left="0"/>
        <w:rPr>
          <w:rFonts w:ascii="Open Sans" w:hAnsi="Open Sans"/>
        </w:rPr>
      </w:pPr>
    </w:p>
    <w:p w:rsidR="00034E24" w:rsidRPr="00034E24" w:rsidRDefault="00034E24" w:rsidP="00034E24">
      <w:pPr>
        <w:pStyle w:val="BodyA"/>
        <w:ind w:left="0"/>
        <w:rPr>
          <w:rFonts w:ascii="Open Sans" w:hAnsi="Open Sans"/>
        </w:rPr>
      </w:pPr>
      <w:r w:rsidRPr="00034E24">
        <w:rPr>
          <w:rFonts w:ascii="Open Sans" w:hAnsi="Open Sans"/>
          <w:b/>
          <w:bCs/>
        </w:rPr>
        <w:t>AP2.6</w:t>
      </w:r>
    </w:p>
    <w:p w:rsidR="00034E24" w:rsidRPr="00034E24" w:rsidRDefault="00034E24" w:rsidP="002F2CE0">
      <w:pPr>
        <w:pStyle w:val="BodyA"/>
        <w:tabs>
          <w:tab w:val="clear" w:pos="540"/>
        </w:tabs>
        <w:ind w:left="547" w:hanging="547"/>
        <w:rPr>
          <w:rFonts w:ascii="Open Sans" w:hAnsi="Open Sans"/>
        </w:rPr>
      </w:pPr>
      <w:r w:rsidRPr="00034E24">
        <w:rPr>
          <w:rFonts w:ascii="Open Sans" w:hAnsi="Open Sans"/>
        </w:rPr>
        <w:t>1.</w:t>
      </w:r>
      <w:r w:rsidR="002F2CE0">
        <w:rPr>
          <w:rFonts w:ascii="Open Sans" w:hAnsi="Open Sans"/>
        </w:rPr>
        <w:tab/>
      </w:r>
      <w:r w:rsidRPr="00034E24">
        <w:rPr>
          <w:rFonts w:ascii="Open Sans" w:hAnsi="Open Sans"/>
        </w:rPr>
        <w:t>This situation relates to ET 1.200 - Independence.</w:t>
      </w:r>
      <w:r w:rsidR="002F2CE0">
        <w:rPr>
          <w:rFonts w:ascii="Open Sans" w:hAnsi="Open Sans"/>
        </w:rPr>
        <w:t xml:space="preserve"> </w:t>
      </w:r>
      <w:r w:rsidRPr="00034E24">
        <w:rPr>
          <w:rFonts w:ascii="Open Sans" w:hAnsi="Open Sans"/>
        </w:rPr>
        <w:t>The situation would be acceptable providing that Herb does not assume the role of an employee and the client is sufficiently knowledgeable of the company</w:t>
      </w:r>
      <w:r>
        <w:rPr>
          <w:rFonts w:ascii="Arial Unicode MS" w:hAnsi="Arial Unicode MS"/>
          <w:rtl/>
          <w:lang w:val="ar-SA"/>
        </w:rPr>
        <w:t>’</w:t>
      </w:r>
      <w:r w:rsidRPr="00034E24">
        <w:rPr>
          <w:rFonts w:ascii="Open Sans" w:hAnsi="Open Sans"/>
        </w:rPr>
        <w:t>s activities and financial condition and the applicable accounting principles so the client can reasonably accept responsibility for the work.</w:t>
      </w:r>
      <w:r w:rsidR="002F2CE0">
        <w:rPr>
          <w:rFonts w:ascii="Open Sans" w:hAnsi="Open Sans"/>
        </w:rPr>
        <w:t xml:space="preserve"> </w:t>
      </w:r>
      <w:r w:rsidRPr="00034E24">
        <w:rPr>
          <w:rFonts w:ascii="Open Sans" w:hAnsi="Open Sans"/>
        </w:rPr>
        <w:t>For SEC purposes, responsibility for maintenance of the accounting records must be performed by accounting personnel employed by the client.</w:t>
      </w:r>
      <w:r w:rsidR="002F2CE0">
        <w:rPr>
          <w:rFonts w:ascii="Open Sans" w:hAnsi="Open Sans"/>
        </w:rPr>
        <w:t xml:space="preserve"> </w:t>
      </w:r>
      <w:r w:rsidRPr="00034E24">
        <w:rPr>
          <w:rFonts w:ascii="Open Sans" w:hAnsi="Open Sans"/>
        </w:rPr>
        <w:t>Therefore, if Ethical was an SEC client, Herb could not perform this work.</w:t>
      </w:r>
    </w:p>
    <w:p w:rsidR="00034E24" w:rsidRPr="00034E24" w:rsidRDefault="00034E24" w:rsidP="00034E24">
      <w:pPr>
        <w:pStyle w:val="BodyA"/>
        <w:tabs>
          <w:tab w:val="clear" w:pos="540"/>
        </w:tabs>
        <w:ind w:hanging="360"/>
        <w:rPr>
          <w:rFonts w:ascii="Open Sans" w:hAnsi="Open Sans"/>
        </w:rPr>
      </w:pPr>
    </w:p>
    <w:p w:rsidR="002F2CE0" w:rsidRDefault="00034E24" w:rsidP="002F2CE0">
      <w:pPr>
        <w:pStyle w:val="BodyA"/>
        <w:tabs>
          <w:tab w:val="clear" w:pos="540"/>
        </w:tabs>
        <w:ind w:left="547" w:hanging="547"/>
        <w:rPr>
          <w:rFonts w:ascii="Open Sans" w:hAnsi="Open Sans"/>
        </w:rPr>
      </w:pPr>
      <w:r w:rsidRPr="00034E24">
        <w:rPr>
          <w:rFonts w:ascii="Open Sans" w:hAnsi="Open Sans"/>
        </w:rPr>
        <w:t>2.</w:t>
      </w:r>
      <w:r w:rsidR="002F2CE0">
        <w:rPr>
          <w:rFonts w:ascii="Open Sans" w:hAnsi="Open Sans"/>
        </w:rPr>
        <w:tab/>
      </w:r>
      <w:r w:rsidRPr="00034E24">
        <w:rPr>
          <w:rFonts w:ascii="Open Sans" w:hAnsi="Open Sans"/>
        </w:rPr>
        <w:t>This situation relates to responsibilities to clients, ET 1.700 - Confidential Client Information.</w:t>
      </w:r>
      <w:r w:rsidR="002F2CE0">
        <w:rPr>
          <w:rFonts w:ascii="Open Sans" w:hAnsi="Open Sans"/>
        </w:rPr>
        <w:t xml:space="preserve"> </w:t>
      </w:r>
      <w:r w:rsidRPr="00034E24">
        <w:rPr>
          <w:rFonts w:ascii="Open Sans" w:hAnsi="Open Sans"/>
        </w:rPr>
        <w:t xml:space="preserve">Herb has violated professional ethics because ET 1.700 states </w:t>
      </w:r>
      <w:r>
        <w:rPr>
          <w:rFonts w:ascii="Arial Unicode MS" w:hAnsi="Arial Unicode MS"/>
          <w:rtl/>
          <w:lang w:val="ar-SA"/>
        </w:rPr>
        <w:t>“</w:t>
      </w:r>
      <w:r w:rsidRPr="00034E24">
        <w:rPr>
          <w:rFonts w:ascii="Open Sans" w:hAnsi="Open Sans"/>
        </w:rPr>
        <w:t>A member shall not disclose any confidential information obtained in the course of a professional engagement except with the consent of the client.”</w:t>
      </w:r>
      <w:r w:rsidR="002F2CE0">
        <w:rPr>
          <w:rFonts w:ascii="Open Sans" w:hAnsi="Open Sans"/>
        </w:rPr>
        <w:t xml:space="preserve"> </w:t>
      </w:r>
      <w:r w:rsidRPr="00034E24">
        <w:rPr>
          <w:rFonts w:ascii="Open Sans" w:hAnsi="Open Sans"/>
        </w:rPr>
        <w:t>This does not apply to a validly issued subpoena or summons enforceable by order of a court.</w:t>
      </w:r>
    </w:p>
    <w:p w:rsidR="00034E24" w:rsidRPr="00034E24" w:rsidRDefault="00034E24" w:rsidP="00034E24">
      <w:pPr>
        <w:pStyle w:val="BodyA"/>
        <w:tabs>
          <w:tab w:val="clear" w:pos="540"/>
        </w:tabs>
        <w:ind w:hanging="360"/>
        <w:rPr>
          <w:rFonts w:ascii="Open Sans" w:hAnsi="Open Sans"/>
        </w:rPr>
      </w:pPr>
    </w:p>
    <w:p w:rsidR="00034E24" w:rsidRPr="00034E24" w:rsidRDefault="00034E24" w:rsidP="002F2CE0">
      <w:pPr>
        <w:pStyle w:val="BodyA"/>
        <w:tabs>
          <w:tab w:val="clear" w:pos="540"/>
        </w:tabs>
        <w:ind w:left="547" w:hanging="547"/>
        <w:rPr>
          <w:rFonts w:ascii="Open Sans" w:hAnsi="Open Sans"/>
        </w:rPr>
      </w:pPr>
      <w:r w:rsidRPr="00034E24">
        <w:rPr>
          <w:rFonts w:ascii="Open Sans" w:hAnsi="Open Sans"/>
        </w:rPr>
        <w:t>3.</w:t>
      </w:r>
      <w:r w:rsidR="002F2CE0">
        <w:rPr>
          <w:rFonts w:ascii="Open Sans" w:hAnsi="Open Sans"/>
        </w:rPr>
        <w:tab/>
      </w:r>
      <w:r w:rsidRPr="00034E24">
        <w:rPr>
          <w:rFonts w:ascii="Open Sans" w:hAnsi="Open Sans"/>
        </w:rPr>
        <w:t>This situation relates to ET 1.200 - Independence.</w:t>
      </w:r>
      <w:r w:rsidR="002F2CE0">
        <w:rPr>
          <w:rFonts w:ascii="Open Sans" w:hAnsi="Open Sans"/>
        </w:rPr>
        <w:t xml:space="preserve"> </w:t>
      </w:r>
      <w:r w:rsidRPr="00034E24">
        <w:rPr>
          <w:rFonts w:ascii="Open Sans" w:hAnsi="Open Sans"/>
        </w:rPr>
        <w:t>If an employee or partner accepts more than a token gift from a client, even with the knowledge of the member</w:t>
      </w:r>
      <w:r>
        <w:rPr>
          <w:rFonts w:ascii="Arial Unicode MS" w:hAnsi="Arial Unicode MS"/>
          <w:rtl/>
          <w:lang w:val="ar-SA"/>
        </w:rPr>
        <w:t>’</w:t>
      </w:r>
      <w:r w:rsidRPr="00034E24">
        <w:rPr>
          <w:rFonts w:ascii="Open Sans" w:hAnsi="Open Sans"/>
        </w:rPr>
        <w:t xml:space="preserve">s firm, </w:t>
      </w:r>
      <w:r w:rsidRPr="00034E24">
        <w:rPr>
          <w:rFonts w:ascii="Open Sans" w:hAnsi="Open Sans"/>
        </w:rPr>
        <w:lastRenderedPageBreak/>
        <w:t>the appearance of independence may be lacking.</w:t>
      </w:r>
      <w:r w:rsidR="002F2CE0">
        <w:rPr>
          <w:rFonts w:ascii="Open Sans" w:hAnsi="Open Sans"/>
        </w:rPr>
        <w:t xml:space="preserve"> </w:t>
      </w:r>
      <w:r w:rsidRPr="00034E24">
        <w:rPr>
          <w:rFonts w:ascii="Open Sans" w:hAnsi="Open Sans"/>
        </w:rPr>
        <w:t>Good advice would be to never accept anything from a client at a price less than what other independent buyers pay.</w:t>
      </w:r>
    </w:p>
    <w:p w:rsidR="00034E24" w:rsidRPr="00034E24" w:rsidRDefault="00034E24" w:rsidP="00034E24">
      <w:pPr>
        <w:pStyle w:val="BodyA"/>
        <w:tabs>
          <w:tab w:val="clear" w:pos="540"/>
        </w:tabs>
        <w:ind w:hanging="360"/>
        <w:rPr>
          <w:rFonts w:ascii="Open Sans" w:hAnsi="Open Sans"/>
        </w:rPr>
      </w:pPr>
    </w:p>
    <w:p w:rsidR="00034E24" w:rsidRPr="00034E24" w:rsidRDefault="00034E24" w:rsidP="002F2CE0">
      <w:pPr>
        <w:pStyle w:val="BodyA"/>
        <w:tabs>
          <w:tab w:val="clear" w:pos="540"/>
        </w:tabs>
        <w:ind w:left="547" w:hanging="547"/>
        <w:rPr>
          <w:rFonts w:ascii="Open Sans" w:hAnsi="Open Sans"/>
        </w:rPr>
      </w:pPr>
      <w:r w:rsidRPr="00034E24">
        <w:rPr>
          <w:rFonts w:ascii="Open Sans" w:hAnsi="Open Sans"/>
        </w:rPr>
        <w:t>4.</w:t>
      </w:r>
      <w:r w:rsidR="002F2CE0">
        <w:rPr>
          <w:rFonts w:ascii="Open Sans" w:hAnsi="Open Sans"/>
        </w:rPr>
        <w:tab/>
      </w:r>
      <w:r w:rsidRPr="00034E24">
        <w:rPr>
          <w:rFonts w:ascii="Open Sans" w:hAnsi="Open Sans"/>
        </w:rPr>
        <w:t>This situation relates to ET 1.200 -Independence.</w:t>
      </w:r>
      <w:r w:rsidR="002F2CE0">
        <w:rPr>
          <w:rFonts w:ascii="Open Sans" w:hAnsi="Open Sans"/>
        </w:rPr>
        <w:t xml:space="preserve"> </w:t>
      </w:r>
      <w:r w:rsidRPr="00034E24">
        <w:rPr>
          <w:rFonts w:ascii="Open Sans" w:hAnsi="Open Sans"/>
        </w:rPr>
        <w:t>Interpretation 1.200 states a member, or a firm of which the member is a partner or shareholder, shall not express an opinion on financial statements of an enterprise unless the member and the member</w:t>
      </w:r>
      <w:r>
        <w:rPr>
          <w:rFonts w:ascii="Arial Unicode MS" w:hAnsi="Arial Unicode MS"/>
          <w:rtl/>
          <w:lang w:val="ar-SA"/>
        </w:rPr>
        <w:t>’</w:t>
      </w:r>
      <w:r w:rsidRPr="00034E24">
        <w:rPr>
          <w:rFonts w:ascii="Open Sans" w:hAnsi="Open Sans"/>
        </w:rPr>
        <w:t>s firm are independent with respect to such enterprise.</w:t>
      </w:r>
      <w:r w:rsidR="002F2CE0">
        <w:rPr>
          <w:rFonts w:ascii="Open Sans" w:hAnsi="Open Sans"/>
        </w:rPr>
        <w:t xml:space="preserve"> </w:t>
      </w:r>
      <w:r w:rsidRPr="00034E24">
        <w:rPr>
          <w:rFonts w:ascii="Open Sans" w:hAnsi="Open Sans"/>
        </w:rPr>
        <w:t>Independence will be considered to be impaired if a member or a member</w:t>
      </w:r>
      <w:r>
        <w:rPr>
          <w:rFonts w:ascii="Arial Unicode MS" w:hAnsi="Arial Unicode MS"/>
          <w:rtl/>
          <w:lang w:val="ar-SA"/>
        </w:rPr>
        <w:t>’</w:t>
      </w:r>
      <w:r w:rsidRPr="00034E24">
        <w:rPr>
          <w:rFonts w:ascii="Open Sans" w:hAnsi="Open Sans"/>
        </w:rPr>
        <w:t>s firm had any loan to or from an enterprise except as permitted in ET 1.1260.</w:t>
      </w:r>
      <w:r w:rsidR="002F2CE0">
        <w:rPr>
          <w:rFonts w:ascii="Open Sans" w:hAnsi="Open Sans"/>
        </w:rPr>
        <w:t xml:space="preserve"> </w:t>
      </w:r>
      <w:r w:rsidRPr="00034E24">
        <w:rPr>
          <w:rFonts w:ascii="Open Sans" w:hAnsi="Open Sans"/>
        </w:rPr>
        <w:t>The exceptions pertain to certain collateralized loans, loans against insurance policies, and credit card and cash advances on checking accounts which meet certain balance requirements.</w:t>
      </w:r>
      <w:r w:rsidR="002F2CE0">
        <w:rPr>
          <w:rFonts w:ascii="Open Sans" w:hAnsi="Open Sans"/>
        </w:rPr>
        <w:t xml:space="preserve"> </w:t>
      </w:r>
      <w:r w:rsidRPr="00034E24">
        <w:rPr>
          <w:rFonts w:ascii="Open Sans" w:hAnsi="Open Sans"/>
        </w:rPr>
        <w:t>The exceptions do not include unsecured loans, thus this is a violation.</w:t>
      </w:r>
    </w:p>
    <w:p w:rsidR="00034E24" w:rsidRPr="00034E24" w:rsidRDefault="00034E24" w:rsidP="00034E24">
      <w:pPr>
        <w:pStyle w:val="BodyA"/>
        <w:ind w:left="0"/>
        <w:rPr>
          <w:rFonts w:ascii="Open Sans" w:hAnsi="Open Sans"/>
        </w:rPr>
      </w:pPr>
    </w:p>
    <w:p w:rsidR="00034E24" w:rsidRPr="00034E24" w:rsidRDefault="00034E24" w:rsidP="002F2CE0">
      <w:pPr>
        <w:pStyle w:val="BodyA"/>
        <w:tabs>
          <w:tab w:val="clear" w:pos="540"/>
        </w:tabs>
        <w:ind w:left="547" w:hanging="547"/>
        <w:rPr>
          <w:rFonts w:ascii="Open Sans" w:hAnsi="Open Sans"/>
        </w:rPr>
      </w:pPr>
      <w:r w:rsidRPr="00034E24">
        <w:rPr>
          <w:rFonts w:ascii="Open Sans" w:hAnsi="Open Sans"/>
        </w:rPr>
        <w:t>5.</w:t>
      </w:r>
      <w:r w:rsidR="002F2CE0">
        <w:rPr>
          <w:rFonts w:ascii="Open Sans" w:hAnsi="Open Sans"/>
        </w:rPr>
        <w:tab/>
      </w:r>
      <w:r w:rsidRPr="00034E24">
        <w:rPr>
          <w:rFonts w:ascii="Open Sans" w:hAnsi="Open Sans"/>
        </w:rPr>
        <w:t>This situation relates to ET 1.200 - Independence. Interpretation.</w:t>
      </w:r>
      <w:r w:rsidR="002F2CE0">
        <w:rPr>
          <w:rFonts w:ascii="Open Sans" w:hAnsi="Open Sans"/>
        </w:rPr>
        <w:t xml:space="preserve"> </w:t>
      </w:r>
      <w:r w:rsidRPr="00034E24">
        <w:rPr>
          <w:rFonts w:ascii="Open Sans" w:hAnsi="Open Sans"/>
        </w:rPr>
        <w:t>ET 1.240 states that independence will be considered to be impaired if a member, or a firm of which he or she is a partner, had or was committed to acquire any direct or material indirect financial interest in the enterprise.</w:t>
      </w:r>
      <w:r w:rsidR="002F2CE0">
        <w:rPr>
          <w:rFonts w:ascii="Open Sans" w:hAnsi="Open Sans"/>
        </w:rPr>
        <w:t xml:space="preserve"> </w:t>
      </w:r>
      <w:r w:rsidRPr="00034E24">
        <w:rPr>
          <w:rFonts w:ascii="Open Sans" w:hAnsi="Open Sans"/>
        </w:rPr>
        <w:t>Cash and Green would not have a problem performing an independent audit because Herb is not a managerial employee of the office doing the audit.</w:t>
      </w:r>
      <w:r w:rsidR="002F2CE0">
        <w:rPr>
          <w:rFonts w:ascii="Open Sans" w:hAnsi="Open Sans"/>
        </w:rPr>
        <w:t xml:space="preserve"> </w:t>
      </w:r>
      <w:r w:rsidRPr="00034E24">
        <w:rPr>
          <w:rFonts w:ascii="Open Sans" w:hAnsi="Open Sans"/>
        </w:rPr>
        <w:t>With respect to the audit of Leverage Corp, Herb is not considered to be a covered member.</w:t>
      </w:r>
    </w:p>
    <w:p w:rsidR="002F2CE0" w:rsidRDefault="00034E24" w:rsidP="00034E24">
      <w:pPr>
        <w:pStyle w:val="BodyA"/>
        <w:ind w:left="0"/>
        <w:rPr>
          <w:rFonts w:ascii="Open Sans" w:hAnsi="Open Sans"/>
          <w:sz w:val="18"/>
          <w:szCs w:val="18"/>
        </w:rPr>
      </w:pPr>
      <w:r w:rsidRPr="00034E24">
        <w:rPr>
          <w:rFonts w:ascii="Open Sans" w:hAnsi="Open Sans"/>
          <w:sz w:val="18"/>
          <w:szCs w:val="18"/>
        </w:rPr>
        <w:t>LO 4</w:t>
      </w:r>
      <w:proofErr w:type="gramStart"/>
      <w:r w:rsidRPr="00034E24">
        <w:rPr>
          <w:rFonts w:ascii="Open Sans" w:hAnsi="Open Sans"/>
          <w:sz w:val="18"/>
          <w:szCs w:val="18"/>
        </w:rPr>
        <w:t>,5,6</w:t>
      </w:r>
      <w:proofErr w:type="gramEnd"/>
      <w:r w:rsidRPr="00034E24">
        <w:rPr>
          <w:rFonts w:ascii="Open Sans" w:hAnsi="Open Sans"/>
          <w:sz w:val="18"/>
          <w:szCs w:val="18"/>
        </w:rPr>
        <w:t>,&amp; 7.</w:t>
      </w:r>
      <w:r w:rsidR="002F2CE0">
        <w:rPr>
          <w:rFonts w:ascii="Open Sans" w:hAnsi="Open Sans"/>
          <w:sz w:val="18"/>
          <w:szCs w:val="18"/>
        </w:rPr>
        <w:t xml:space="preserve"> </w:t>
      </w:r>
      <w:r w:rsidRPr="00034E24">
        <w:rPr>
          <w:rFonts w:ascii="Open Sans" w:hAnsi="Open Sans"/>
          <w:sz w:val="18"/>
          <w:szCs w:val="18"/>
        </w:rPr>
        <w:t>BT</w:t>
      </w:r>
      <w:proofErr w:type="gramStart"/>
      <w:r w:rsidRPr="00034E24">
        <w:rPr>
          <w:rFonts w:ascii="Open Sans" w:hAnsi="Open Sans"/>
          <w:sz w:val="18"/>
          <w:szCs w:val="18"/>
        </w:rPr>
        <w:t>:E</w:t>
      </w:r>
      <w:proofErr w:type="gramEnd"/>
      <w:r w:rsidRPr="00034E24">
        <w:rPr>
          <w:rFonts w:ascii="Open Sans" w:hAnsi="Open Sans"/>
          <w:sz w:val="18"/>
          <w:szCs w:val="18"/>
        </w:rPr>
        <w:t>, Difficulty: Challenging, TOT: 35 min., AACSB: Ethics, AICPA PC: Ethics, Decision Making</w:t>
      </w:r>
    </w:p>
    <w:p w:rsidR="00034E24" w:rsidRPr="00034E24" w:rsidRDefault="00034E24" w:rsidP="00034E24">
      <w:pPr>
        <w:pStyle w:val="BodyA"/>
        <w:tabs>
          <w:tab w:val="clear" w:pos="540"/>
          <w:tab w:val="left" w:pos="360"/>
        </w:tabs>
        <w:ind w:hanging="360"/>
        <w:rPr>
          <w:rFonts w:ascii="Open Sans" w:hAnsi="Open Sans"/>
        </w:rPr>
      </w:pPr>
    </w:p>
    <w:p w:rsidR="00034E24" w:rsidRPr="00034E24" w:rsidRDefault="00034E24" w:rsidP="00034E24">
      <w:pPr>
        <w:pStyle w:val="BodyA"/>
        <w:ind w:left="0"/>
        <w:rPr>
          <w:rFonts w:ascii="Open Sans" w:hAnsi="Open Sans"/>
        </w:rPr>
      </w:pPr>
      <w:r w:rsidRPr="00034E24">
        <w:rPr>
          <w:rFonts w:ascii="Open Sans" w:hAnsi="Open Sans"/>
          <w:b/>
          <w:bCs/>
        </w:rPr>
        <w:t>AP 2.7</w:t>
      </w:r>
      <w:r w:rsidRPr="00034E24">
        <w:rPr>
          <w:rFonts w:ascii="Open Sans" w:hAnsi="Open Sans"/>
        </w:rPr>
        <w:t xml:space="preserve"> The facts reveal negligence on Field's part in that the firm did not follow its own audit program nor did it make a proper investigation into the many irregularities and suspicious circumstances.</w:t>
      </w:r>
      <w:r w:rsidR="002F2CE0">
        <w:rPr>
          <w:rFonts w:ascii="Open Sans" w:hAnsi="Open Sans"/>
        </w:rPr>
        <w:t xml:space="preserve"> </w:t>
      </w:r>
      <w:r w:rsidRPr="00034E24">
        <w:rPr>
          <w:rFonts w:ascii="Open Sans" w:hAnsi="Open Sans"/>
        </w:rPr>
        <w:t>Compliance with GAAP is of some evidentiary value to Field if it in fact complied with the principles set forth therein. However, the courts do not invariably accept GAAP as the conclusive test to disprove negligence. Furthermore, even if assuming GAAP were followed literally, GAAS certainly were not under the facts stated.</w:t>
      </w:r>
    </w:p>
    <w:p w:rsidR="00034E24" w:rsidRPr="00034E24" w:rsidRDefault="00034E24" w:rsidP="00034E24">
      <w:pPr>
        <w:pStyle w:val="BodyA"/>
        <w:ind w:left="0"/>
        <w:rPr>
          <w:rFonts w:ascii="Open Sans" w:hAnsi="Open Sans"/>
        </w:rPr>
      </w:pPr>
    </w:p>
    <w:p w:rsidR="00034E24" w:rsidRPr="00034E24" w:rsidRDefault="00034E24" w:rsidP="00034E24">
      <w:pPr>
        <w:pStyle w:val="BodyA"/>
        <w:ind w:left="0"/>
        <w:rPr>
          <w:rFonts w:ascii="Open Sans" w:hAnsi="Open Sans"/>
        </w:rPr>
      </w:pPr>
      <w:r w:rsidRPr="00034E24">
        <w:rPr>
          <w:rFonts w:ascii="Open Sans" w:hAnsi="Open Sans"/>
        </w:rPr>
        <w:t xml:space="preserve">Field will undoubtedly rely upon the </w:t>
      </w:r>
      <w:proofErr w:type="spellStart"/>
      <w:r w:rsidRPr="00034E24">
        <w:rPr>
          <w:rFonts w:ascii="Open Sans" w:hAnsi="Open Sans"/>
        </w:rPr>
        <w:t>privity</w:t>
      </w:r>
      <w:proofErr w:type="spellEnd"/>
      <w:r w:rsidRPr="00034E24">
        <w:rPr>
          <w:rFonts w:ascii="Open Sans" w:hAnsi="Open Sans"/>
        </w:rPr>
        <w:t xml:space="preserve"> defense to avoid liability to Slade, a third party to the Field-Tyler contract. However, most jurisdictions recognize the standing of a third</w:t>
      </w:r>
      <w:r w:rsidRPr="00034E24">
        <w:rPr>
          <w:rFonts w:ascii="Open Sans" w:hAnsi="Open Sans"/>
          <w:color w:val="FF0000"/>
          <w:u w:color="FF0000"/>
        </w:rPr>
        <w:t>-</w:t>
      </w:r>
      <w:r w:rsidRPr="00034E24">
        <w:rPr>
          <w:rFonts w:ascii="Open Sans" w:hAnsi="Open Sans"/>
        </w:rPr>
        <w:t xml:space="preserve">party beneficiary to sue. Therefore, Slade would assert such status. In a majority of jurisdictions Slade would be regarded as a third-party beneficiary if it is within a known and intended class of beneficiaries. Other jurisdictions have gone even further in recognizing a duty is owed to those whom the CPA should reasonably foresee as recipients of the financial statements for authorized business purposes. There are insufficient facts to determine whether Field knew that Tyler intended to use the audited financial statements to secure credit from Slade. Therefore, it is not possible to determine whether the </w:t>
      </w:r>
      <w:proofErr w:type="spellStart"/>
      <w:r w:rsidRPr="00034E24">
        <w:rPr>
          <w:rFonts w:ascii="Open Sans" w:hAnsi="Open Sans"/>
        </w:rPr>
        <w:t>privity</w:t>
      </w:r>
      <w:proofErr w:type="spellEnd"/>
      <w:r w:rsidRPr="00034E24">
        <w:rPr>
          <w:rFonts w:ascii="Open Sans" w:hAnsi="Open Sans"/>
        </w:rPr>
        <w:t xml:space="preserve"> defense will bar recovery.</w:t>
      </w:r>
    </w:p>
    <w:p w:rsidR="00034E24" w:rsidRPr="00034E24" w:rsidRDefault="00034E24" w:rsidP="00034E24">
      <w:pPr>
        <w:pStyle w:val="BodyA"/>
        <w:ind w:left="0"/>
        <w:rPr>
          <w:rFonts w:ascii="Open Sans" w:hAnsi="Open Sans"/>
        </w:rPr>
      </w:pPr>
    </w:p>
    <w:p w:rsidR="00034E24" w:rsidRPr="00034E24" w:rsidRDefault="00034E24" w:rsidP="00034E24">
      <w:pPr>
        <w:pStyle w:val="BodyA"/>
        <w:ind w:left="0"/>
        <w:rPr>
          <w:rFonts w:ascii="Open Sans" w:hAnsi="Open Sans"/>
        </w:rPr>
      </w:pPr>
      <w:r w:rsidRPr="00034E24">
        <w:rPr>
          <w:rFonts w:ascii="Open Sans" w:hAnsi="Open Sans"/>
        </w:rPr>
        <w:t xml:space="preserve">Fraud does not require that the party suing be in </w:t>
      </w:r>
      <w:proofErr w:type="spellStart"/>
      <w:r w:rsidRPr="00034E24">
        <w:rPr>
          <w:rFonts w:ascii="Open Sans" w:hAnsi="Open Sans"/>
        </w:rPr>
        <w:t>privity</w:t>
      </w:r>
      <w:proofErr w:type="spellEnd"/>
      <w:r w:rsidRPr="00034E24">
        <w:rPr>
          <w:rFonts w:ascii="Open Sans" w:hAnsi="Open Sans"/>
        </w:rPr>
        <w:t xml:space="preserve"> of contract with the defendant. However, the most significant problem in proceeding based upon fraud is that fraud requires a knowledge of falsity (</w:t>
      </w:r>
      <w:r w:rsidRPr="00034E24">
        <w:rPr>
          <w:rFonts w:ascii="Open Sans" w:hAnsi="Open Sans"/>
          <w:i/>
          <w:iCs/>
          <w:lang w:val="it-IT"/>
        </w:rPr>
        <w:t>scienter</w:t>
      </w:r>
      <w:r w:rsidRPr="00034E24">
        <w:rPr>
          <w:rFonts w:ascii="Open Sans" w:hAnsi="Open Sans"/>
        </w:rPr>
        <w:t xml:space="preserve">) or a recognized substitute therefor. Based upon </w:t>
      </w:r>
      <w:r w:rsidRPr="00034E24">
        <w:rPr>
          <w:rFonts w:ascii="Open Sans" w:hAnsi="Open Sans"/>
        </w:rPr>
        <w:lastRenderedPageBreak/>
        <w:t>the facts, Field did not actually know of management's fraud. However, it may be guilty of conduct which may be deemed to be a reckless disregard for the truth. The courts also resort to the constructive fraud theory where the facts are compelling, i.e., a shutting of one's eyes to the obvious. Sometimes, the conduct is labeled gross negligence, and an inference of fraud may be drawn from this by the trier of fact.</w:t>
      </w:r>
    </w:p>
    <w:p w:rsidR="00034E24" w:rsidRPr="00034E24" w:rsidRDefault="00034E24" w:rsidP="00034E24">
      <w:pPr>
        <w:pStyle w:val="BodyA"/>
        <w:ind w:left="0"/>
        <w:rPr>
          <w:rFonts w:ascii="Open Sans" w:hAnsi="Open Sans"/>
          <w:sz w:val="14"/>
          <w:szCs w:val="14"/>
        </w:rPr>
      </w:pPr>
      <w:r w:rsidRPr="00034E24">
        <w:rPr>
          <w:rFonts w:ascii="Open Sans" w:hAnsi="Open Sans"/>
          <w:sz w:val="18"/>
          <w:szCs w:val="18"/>
        </w:rPr>
        <w:t>LO 8.</w:t>
      </w:r>
      <w:r w:rsidR="002F2CE0">
        <w:rPr>
          <w:rFonts w:ascii="Open Sans" w:hAnsi="Open Sans"/>
          <w:sz w:val="18"/>
          <w:szCs w:val="18"/>
        </w:rPr>
        <w:t xml:space="preserve"> </w:t>
      </w:r>
      <w:r w:rsidRPr="00034E24">
        <w:rPr>
          <w:rFonts w:ascii="Open Sans" w:hAnsi="Open Sans"/>
          <w:sz w:val="18"/>
          <w:szCs w:val="18"/>
        </w:rPr>
        <w:t>BT</w:t>
      </w:r>
      <w:proofErr w:type="gramStart"/>
      <w:r w:rsidRPr="00034E24">
        <w:rPr>
          <w:rFonts w:ascii="Open Sans" w:hAnsi="Open Sans"/>
          <w:sz w:val="18"/>
          <w:szCs w:val="18"/>
        </w:rPr>
        <w:t>:E</w:t>
      </w:r>
      <w:proofErr w:type="gramEnd"/>
      <w:r w:rsidRPr="00034E24">
        <w:rPr>
          <w:rFonts w:ascii="Open Sans" w:hAnsi="Open Sans"/>
          <w:sz w:val="18"/>
          <w:szCs w:val="18"/>
        </w:rPr>
        <w:t>, Difficulty: Challenging, TOT: 35 min., AACSB: None, AICPA: None</w:t>
      </w:r>
    </w:p>
    <w:p w:rsidR="00034E24" w:rsidRPr="00034E24" w:rsidRDefault="00034E24" w:rsidP="00034E24">
      <w:pPr>
        <w:pStyle w:val="BodyA"/>
        <w:ind w:left="0"/>
        <w:rPr>
          <w:rFonts w:ascii="Open Sans" w:hAnsi="Open Sans"/>
        </w:rPr>
      </w:pPr>
    </w:p>
    <w:p w:rsidR="00034E24" w:rsidRPr="00034E24" w:rsidRDefault="00034E24" w:rsidP="00034E24">
      <w:pPr>
        <w:pStyle w:val="BodyA"/>
        <w:ind w:left="0"/>
        <w:rPr>
          <w:rFonts w:ascii="Open Sans" w:hAnsi="Open Sans"/>
        </w:rPr>
      </w:pPr>
      <w:r w:rsidRPr="00034E24">
        <w:rPr>
          <w:rFonts w:ascii="Open Sans" w:hAnsi="Open Sans"/>
          <w:b/>
          <w:bCs/>
        </w:rPr>
        <w:t>AP2.8</w:t>
      </w:r>
      <w:r w:rsidRPr="00034E24">
        <w:rPr>
          <w:rFonts w:ascii="Open Sans" w:hAnsi="Open Sans"/>
        </w:rPr>
        <w:t xml:space="preserve"> City is likely to prevail against Winston based on constructive fraud.</w:t>
      </w:r>
      <w:r w:rsidR="002F2CE0">
        <w:rPr>
          <w:rFonts w:ascii="Open Sans" w:hAnsi="Open Sans"/>
        </w:rPr>
        <w:t xml:space="preserve"> </w:t>
      </w:r>
      <w:r w:rsidRPr="00034E24">
        <w:rPr>
          <w:rFonts w:ascii="Open Sans" w:hAnsi="Open Sans"/>
        </w:rPr>
        <w:t>To establish a cause of action for constructive fraud, City must prove that:</w:t>
      </w:r>
    </w:p>
    <w:p w:rsidR="00034E24" w:rsidRPr="00034E24" w:rsidRDefault="00034E24" w:rsidP="004A6B78">
      <w:pPr>
        <w:pStyle w:val="ListParagraph"/>
        <w:numPr>
          <w:ilvl w:val="0"/>
          <w:numId w:val="32"/>
        </w:numPr>
        <w:tabs>
          <w:tab w:val="clear" w:pos="540"/>
        </w:tabs>
        <w:rPr>
          <w:rFonts w:ascii="Open Sans" w:hAnsi="Open Sans"/>
        </w:rPr>
      </w:pPr>
      <w:r w:rsidRPr="00034E24">
        <w:rPr>
          <w:rFonts w:ascii="Open Sans" w:hAnsi="Open Sans"/>
        </w:rPr>
        <w:t>Winston made a materially false statement of fact.</w:t>
      </w:r>
    </w:p>
    <w:p w:rsidR="00034E24" w:rsidRPr="00034E24" w:rsidRDefault="00034E24" w:rsidP="004A6B78">
      <w:pPr>
        <w:pStyle w:val="ListParagraph"/>
        <w:numPr>
          <w:ilvl w:val="0"/>
          <w:numId w:val="32"/>
        </w:numPr>
        <w:tabs>
          <w:tab w:val="clear" w:pos="540"/>
        </w:tabs>
        <w:rPr>
          <w:rFonts w:ascii="Open Sans" w:hAnsi="Open Sans"/>
        </w:rPr>
      </w:pPr>
      <w:r w:rsidRPr="00034E24">
        <w:rPr>
          <w:rFonts w:ascii="Open Sans" w:hAnsi="Open Sans"/>
        </w:rPr>
        <w:t>Winston lacked a reasonable ground for belief that the statement was true.</w:t>
      </w:r>
      <w:r w:rsidR="002F2CE0">
        <w:rPr>
          <w:rFonts w:ascii="Open Sans" w:hAnsi="Open Sans"/>
        </w:rPr>
        <w:t xml:space="preserve"> </w:t>
      </w:r>
      <w:r w:rsidRPr="00034E24">
        <w:rPr>
          <w:rFonts w:ascii="Open Sans" w:hAnsi="Open Sans"/>
        </w:rPr>
        <w:t>Constructive fraud may be inferred from evidence of gross negligence or recklessness.</w:t>
      </w:r>
    </w:p>
    <w:p w:rsidR="00034E24" w:rsidRPr="00034E24" w:rsidRDefault="00034E24" w:rsidP="004A6B78">
      <w:pPr>
        <w:pStyle w:val="ListParagraph"/>
        <w:numPr>
          <w:ilvl w:val="0"/>
          <w:numId w:val="32"/>
        </w:numPr>
        <w:tabs>
          <w:tab w:val="clear" w:pos="540"/>
        </w:tabs>
        <w:rPr>
          <w:rFonts w:ascii="Open Sans" w:hAnsi="Open Sans"/>
        </w:rPr>
      </w:pPr>
      <w:r w:rsidRPr="00034E24">
        <w:rPr>
          <w:rFonts w:ascii="Open Sans" w:hAnsi="Open Sans"/>
        </w:rPr>
        <w:t>Winston intended another to rely on the false statement.</w:t>
      </w:r>
    </w:p>
    <w:p w:rsidR="00034E24" w:rsidRPr="00034E24" w:rsidRDefault="00034E24" w:rsidP="004A6B78">
      <w:pPr>
        <w:pStyle w:val="ListParagraph"/>
        <w:numPr>
          <w:ilvl w:val="0"/>
          <w:numId w:val="32"/>
        </w:numPr>
        <w:tabs>
          <w:tab w:val="clear" w:pos="540"/>
        </w:tabs>
        <w:rPr>
          <w:rFonts w:ascii="Open Sans" w:hAnsi="Open Sans"/>
        </w:rPr>
      </w:pPr>
      <w:r w:rsidRPr="00034E24">
        <w:rPr>
          <w:rFonts w:ascii="Open Sans" w:hAnsi="Open Sans"/>
        </w:rPr>
        <w:t>City justifiably relied on the false statement.</w:t>
      </w:r>
    </w:p>
    <w:p w:rsidR="00034E24" w:rsidRPr="00034E24" w:rsidRDefault="00034E24" w:rsidP="004A6B78">
      <w:pPr>
        <w:pStyle w:val="ListParagraph"/>
        <w:numPr>
          <w:ilvl w:val="0"/>
          <w:numId w:val="32"/>
        </w:numPr>
        <w:tabs>
          <w:tab w:val="clear" w:pos="540"/>
        </w:tabs>
        <w:rPr>
          <w:rFonts w:ascii="Open Sans" w:hAnsi="Open Sans"/>
        </w:rPr>
      </w:pPr>
      <w:r w:rsidRPr="00034E24">
        <w:rPr>
          <w:rFonts w:ascii="Open Sans" w:hAnsi="Open Sans"/>
        </w:rPr>
        <w:t>Such reliance resulted in damages or injury.</w:t>
      </w:r>
    </w:p>
    <w:p w:rsidR="00034E24" w:rsidRPr="00034E24" w:rsidRDefault="00034E24" w:rsidP="002F2CE0">
      <w:pPr>
        <w:pStyle w:val="BodyA"/>
        <w:tabs>
          <w:tab w:val="clear" w:pos="540"/>
        </w:tabs>
        <w:ind w:left="0"/>
        <w:rPr>
          <w:rFonts w:ascii="Open Sans" w:hAnsi="Open Sans"/>
        </w:rPr>
      </w:pPr>
    </w:p>
    <w:p w:rsidR="00034E24" w:rsidRPr="00034E24" w:rsidRDefault="00034E24" w:rsidP="00034E24">
      <w:pPr>
        <w:pStyle w:val="BodyA"/>
        <w:ind w:left="0"/>
        <w:rPr>
          <w:rFonts w:ascii="Open Sans" w:hAnsi="Open Sans"/>
        </w:rPr>
      </w:pPr>
      <w:r w:rsidRPr="00034E24">
        <w:rPr>
          <w:rFonts w:ascii="Open Sans" w:hAnsi="Open Sans"/>
        </w:rPr>
        <w:t>Under the facts of this case, Winston is likely to be liable to City based on constructive fraud.</w:t>
      </w:r>
      <w:r w:rsidR="002F2CE0">
        <w:rPr>
          <w:rFonts w:ascii="Open Sans" w:hAnsi="Open Sans"/>
        </w:rPr>
        <w:t xml:space="preserve"> </w:t>
      </w:r>
      <w:r w:rsidRPr="00034E24">
        <w:rPr>
          <w:rFonts w:ascii="Open Sans" w:hAnsi="Open Sans"/>
        </w:rPr>
        <w:t>Winston made a materially false statement of fact by rendering an unqualified opinion on Bell</w:t>
      </w:r>
      <w:r>
        <w:rPr>
          <w:rFonts w:ascii="Arial Unicode MS" w:hAnsi="Arial Unicode MS"/>
          <w:rtl/>
          <w:lang w:val="ar-SA"/>
        </w:rPr>
        <w:t>’</w:t>
      </w:r>
      <w:r w:rsidRPr="00034E24">
        <w:rPr>
          <w:rFonts w:ascii="Open Sans" w:hAnsi="Open Sans"/>
        </w:rPr>
        <w:t>s financial statements.</w:t>
      </w:r>
      <w:r w:rsidR="002F2CE0">
        <w:rPr>
          <w:rFonts w:ascii="Open Sans" w:hAnsi="Open Sans"/>
        </w:rPr>
        <w:t xml:space="preserve"> </w:t>
      </w:r>
      <w:r w:rsidRPr="00034E24">
        <w:rPr>
          <w:rFonts w:ascii="Open Sans" w:hAnsi="Open Sans"/>
        </w:rPr>
        <w:t>Winston lacked a reasonable ground for belief that the financial statements were fairly presented by recklessly departing from the standards of due care in that Winston failed to investigate other embezzlements, despite having knowledge of at least one embezzlement, and Winston did not notify Bell</w:t>
      </w:r>
      <w:r>
        <w:rPr>
          <w:rFonts w:ascii="Arial Unicode MS" w:hAnsi="Arial Unicode MS"/>
          <w:rtl/>
          <w:lang w:val="ar-SA"/>
        </w:rPr>
        <w:t>’</w:t>
      </w:r>
      <w:r w:rsidRPr="00034E24">
        <w:rPr>
          <w:rFonts w:ascii="Open Sans" w:hAnsi="Open Sans"/>
        </w:rPr>
        <w:t>s management of the matter.</w:t>
      </w:r>
      <w:r w:rsidR="002F2CE0">
        <w:rPr>
          <w:rFonts w:ascii="Open Sans" w:hAnsi="Open Sans"/>
        </w:rPr>
        <w:t xml:space="preserve"> </w:t>
      </w:r>
      <w:r w:rsidRPr="00034E24">
        <w:rPr>
          <w:rFonts w:ascii="Open Sans" w:hAnsi="Open Sans"/>
        </w:rPr>
        <w:t>Winston intended that others would rely on the audited financial statements.</w:t>
      </w:r>
      <w:r w:rsidR="002F2CE0">
        <w:rPr>
          <w:rFonts w:ascii="Open Sans" w:hAnsi="Open Sans"/>
        </w:rPr>
        <w:t xml:space="preserve"> </w:t>
      </w:r>
      <w:r w:rsidRPr="00034E24">
        <w:rPr>
          <w:rFonts w:ascii="Open Sans" w:hAnsi="Open Sans"/>
        </w:rPr>
        <w:t>City justifiably relied on the audited financial statements in deciding to loan Astor $600,000 and damages resulted as evidenced by Astor</w:t>
      </w:r>
      <w:r>
        <w:rPr>
          <w:rFonts w:ascii="Arial Unicode MS" w:hAnsi="Arial Unicode MS"/>
          <w:rtl/>
          <w:lang w:val="ar-SA"/>
        </w:rPr>
        <w:t>’</w:t>
      </w:r>
      <w:r w:rsidRPr="00034E24">
        <w:rPr>
          <w:rFonts w:ascii="Open Sans" w:hAnsi="Open Sans"/>
        </w:rPr>
        <w:t>s default on the City loan.</w:t>
      </w:r>
    </w:p>
    <w:p w:rsidR="00034E24" w:rsidRPr="00034E24" w:rsidRDefault="00034E24" w:rsidP="002F2CE0">
      <w:pPr>
        <w:pStyle w:val="BodyA"/>
        <w:ind w:left="0"/>
        <w:rPr>
          <w:rFonts w:ascii="Open Sans" w:hAnsi="Open Sans"/>
        </w:rPr>
      </w:pPr>
    </w:p>
    <w:p w:rsidR="00034E24" w:rsidRPr="00034E24" w:rsidRDefault="00034E24" w:rsidP="00034E24">
      <w:pPr>
        <w:pStyle w:val="BodyA"/>
        <w:ind w:left="0"/>
        <w:rPr>
          <w:rFonts w:ascii="Open Sans" w:hAnsi="Open Sans"/>
        </w:rPr>
      </w:pPr>
      <w:r w:rsidRPr="00034E24">
        <w:rPr>
          <w:rFonts w:ascii="Open Sans" w:hAnsi="Open Sans"/>
        </w:rPr>
        <w:t>City is not likely to prevail against Winston based on negligence.</w:t>
      </w:r>
      <w:r w:rsidR="002F2CE0">
        <w:rPr>
          <w:rFonts w:ascii="Open Sans" w:hAnsi="Open Sans"/>
        </w:rPr>
        <w:t xml:space="preserve"> </w:t>
      </w:r>
      <w:r w:rsidRPr="00034E24">
        <w:rPr>
          <w:rFonts w:ascii="Open Sans" w:hAnsi="Open Sans"/>
        </w:rPr>
        <w:t>In order to establish a cause of action for negligence against Winston, City must prove that:</w:t>
      </w:r>
    </w:p>
    <w:p w:rsidR="00034E24" w:rsidRPr="00034E24" w:rsidRDefault="00034E24" w:rsidP="004A6B78">
      <w:pPr>
        <w:pStyle w:val="ListParagraph"/>
        <w:numPr>
          <w:ilvl w:val="0"/>
          <w:numId w:val="33"/>
        </w:numPr>
        <w:ind w:left="547" w:hanging="547"/>
        <w:rPr>
          <w:rFonts w:ascii="Open Sans" w:hAnsi="Open Sans"/>
        </w:rPr>
      </w:pPr>
      <w:r w:rsidRPr="00034E24">
        <w:rPr>
          <w:rFonts w:ascii="Open Sans" w:hAnsi="Open Sans"/>
        </w:rPr>
        <w:t>Winston owed a legal duty to protect City.</w:t>
      </w:r>
    </w:p>
    <w:p w:rsidR="00034E24" w:rsidRPr="00034E24" w:rsidRDefault="00034E24" w:rsidP="004A6B78">
      <w:pPr>
        <w:pStyle w:val="ListParagraph"/>
        <w:numPr>
          <w:ilvl w:val="0"/>
          <w:numId w:val="33"/>
        </w:numPr>
        <w:ind w:left="547" w:hanging="547"/>
        <w:rPr>
          <w:rFonts w:ascii="Open Sans" w:hAnsi="Open Sans"/>
        </w:rPr>
      </w:pPr>
      <w:r w:rsidRPr="00034E24">
        <w:rPr>
          <w:rFonts w:ascii="Open Sans" w:hAnsi="Open Sans"/>
        </w:rPr>
        <w:t>Winston breached that legal duty by failing to perform the audit with the due care or competence expected of members of the profession.</w:t>
      </w:r>
    </w:p>
    <w:p w:rsidR="00034E24" w:rsidRPr="00034E24" w:rsidRDefault="00034E24" w:rsidP="004A6B78">
      <w:pPr>
        <w:pStyle w:val="ListParagraph"/>
        <w:numPr>
          <w:ilvl w:val="0"/>
          <w:numId w:val="33"/>
        </w:numPr>
        <w:ind w:left="547" w:hanging="547"/>
        <w:rPr>
          <w:rFonts w:ascii="Open Sans" w:hAnsi="Open Sans"/>
        </w:rPr>
      </w:pPr>
      <w:r w:rsidRPr="00034E24">
        <w:rPr>
          <w:rFonts w:ascii="Open Sans" w:hAnsi="Open Sans"/>
        </w:rPr>
        <w:t>City suffered actual losses or damages.</w:t>
      </w:r>
    </w:p>
    <w:p w:rsidR="00034E24" w:rsidRPr="00034E24" w:rsidRDefault="00034E24" w:rsidP="004A6B78">
      <w:pPr>
        <w:pStyle w:val="ListParagraph"/>
        <w:numPr>
          <w:ilvl w:val="0"/>
          <w:numId w:val="33"/>
        </w:numPr>
        <w:ind w:left="547" w:hanging="547"/>
        <w:rPr>
          <w:rFonts w:ascii="Open Sans" w:hAnsi="Open Sans"/>
        </w:rPr>
      </w:pPr>
      <w:r w:rsidRPr="00034E24">
        <w:rPr>
          <w:rFonts w:ascii="Open Sans" w:hAnsi="Open Sans"/>
        </w:rPr>
        <w:t>Winston’s failure to exercise due care proximately caused City to suffer damages.</w:t>
      </w:r>
    </w:p>
    <w:p w:rsidR="00034E24" w:rsidRPr="00034E24" w:rsidRDefault="00034E24" w:rsidP="00034E24">
      <w:pPr>
        <w:pStyle w:val="BodyA"/>
        <w:ind w:left="0"/>
        <w:rPr>
          <w:rFonts w:ascii="Open Sans" w:hAnsi="Open Sans"/>
        </w:rPr>
      </w:pPr>
    </w:p>
    <w:p w:rsidR="00034E24" w:rsidRPr="00034E24" w:rsidRDefault="00034E24" w:rsidP="00034E24">
      <w:pPr>
        <w:pStyle w:val="BodyA"/>
        <w:ind w:left="0"/>
        <w:rPr>
          <w:rFonts w:ascii="Open Sans" w:hAnsi="Open Sans"/>
        </w:rPr>
      </w:pPr>
      <w:r w:rsidRPr="00034E24">
        <w:rPr>
          <w:rFonts w:ascii="Open Sans" w:hAnsi="Open Sans"/>
        </w:rPr>
        <w:t>The facts of this case establish that Winston was negligent by not detecting the overstatement of accounts receivable because of its inadvertent failure to follow its audit program.</w:t>
      </w:r>
      <w:r w:rsidR="002F2CE0">
        <w:rPr>
          <w:rFonts w:ascii="Open Sans" w:hAnsi="Open Sans"/>
        </w:rPr>
        <w:t xml:space="preserve"> </w:t>
      </w:r>
      <w:r w:rsidRPr="00034E24">
        <w:rPr>
          <w:rFonts w:ascii="Open Sans" w:hAnsi="Open Sans"/>
        </w:rPr>
        <w:t>However, Winston will not be liable to City for negligence because Winston owed no duty to City.</w:t>
      </w:r>
      <w:r w:rsidR="002F2CE0">
        <w:rPr>
          <w:rFonts w:ascii="Open Sans" w:hAnsi="Open Sans"/>
        </w:rPr>
        <w:t xml:space="preserve"> </w:t>
      </w:r>
      <w:r w:rsidRPr="00034E24">
        <w:rPr>
          <w:rFonts w:ascii="Open Sans" w:hAnsi="Open Sans"/>
        </w:rPr>
        <w:t xml:space="preserve">This is the case because Winston was not in </w:t>
      </w:r>
      <w:proofErr w:type="spellStart"/>
      <w:r w:rsidRPr="00034E24">
        <w:rPr>
          <w:rFonts w:ascii="Open Sans" w:hAnsi="Open Sans"/>
        </w:rPr>
        <w:t>privity</w:t>
      </w:r>
      <w:proofErr w:type="spellEnd"/>
      <w:r w:rsidRPr="00034E24">
        <w:rPr>
          <w:rFonts w:ascii="Open Sans" w:hAnsi="Open Sans"/>
        </w:rPr>
        <w:t xml:space="preserve"> of contract with City, and the financial statements were neither audited by Winston for the primary benefit of City, nor was City within a known and intended class of third party beneficiaries who were to receive the audited financial statements.</w:t>
      </w:r>
    </w:p>
    <w:p w:rsidR="00034E24" w:rsidRPr="00034E24" w:rsidRDefault="00034E24" w:rsidP="00034E24">
      <w:pPr>
        <w:pStyle w:val="BodyA"/>
        <w:ind w:left="0"/>
        <w:rPr>
          <w:rFonts w:ascii="Open Sans" w:hAnsi="Open Sans"/>
          <w:sz w:val="18"/>
          <w:szCs w:val="18"/>
        </w:rPr>
      </w:pPr>
      <w:r w:rsidRPr="00034E24">
        <w:rPr>
          <w:rFonts w:ascii="Open Sans" w:hAnsi="Open Sans"/>
          <w:sz w:val="18"/>
          <w:szCs w:val="18"/>
        </w:rPr>
        <w:t>LO 8.</w:t>
      </w:r>
      <w:r w:rsidR="002F2CE0">
        <w:rPr>
          <w:rFonts w:ascii="Open Sans" w:hAnsi="Open Sans"/>
          <w:sz w:val="18"/>
          <w:szCs w:val="18"/>
        </w:rPr>
        <w:t xml:space="preserve"> </w:t>
      </w:r>
      <w:r w:rsidRPr="00034E24">
        <w:rPr>
          <w:rFonts w:ascii="Open Sans" w:hAnsi="Open Sans"/>
          <w:sz w:val="18"/>
          <w:szCs w:val="18"/>
        </w:rPr>
        <w:t>BT</w:t>
      </w:r>
      <w:proofErr w:type="gramStart"/>
      <w:r w:rsidRPr="00034E24">
        <w:rPr>
          <w:rFonts w:ascii="Open Sans" w:hAnsi="Open Sans"/>
          <w:sz w:val="18"/>
          <w:szCs w:val="18"/>
        </w:rPr>
        <w:t>:E</w:t>
      </w:r>
      <w:proofErr w:type="gramEnd"/>
      <w:r w:rsidRPr="00034E24">
        <w:rPr>
          <w:rFonts w:ascii="Open Sans" w:hAnsi="Open Sans"/>
          <w:sz w:val="18"/>
          <w:szCs w:val="18"/>
        </w:rPr>
        <w:t>, Difficulty: Challenging, TOT: 20 min., AACSB: None, AICPA: None</w:t>
      </w:r>
    </w:p>
    <w:p w:rsidR="00034E24" w:rsidRPr="00034E24" w:rsidRDefault="00034E24" w:rsidP="00034E24">
      <w:pPr>
        <w:pStyle w:val="BodyA"/>
        <w:ind w:left="0"/>
        <w:rPr>
          <w:rFonts w:ascii="Open Sans" w:hAnsi="Open Sans"/>
        </w:rPr>
      </w:pPr>
    </w:p>
    <w:p w:rsidR="00034E24" w:rsidRPr="00034E24" w:rsidRDefault="00034E24" w:rsidP="00034E24">
      <w:pPr>
        <w:pStyle w:val="BodyA"/>
        <w:ind w:left="0"/>
        <w:rPr>
          <w:rFonts w:ascii="Open Sans" w:hAnsi="Open Sans"/>
        </w:rPr>
      </w:pPr>
      <w:r w:rsidRPr="00034E24">
        <w:rPr>
          <w:rFonts w:ascii="Open Sans" w:hAnsi="Open Sans"/>
          <w:b/>
          <w:bCs/>
        </w:rPr>
        <w:lastRenderedPageBreak/>
        <w:t>AP2.9</w:t>
      </w:r>
    </w:p>
    <w:p w:rsidR="00034E24" w:rsidRPr="00034E24" w:rsidRDefault="00034E24" w:rsidP="002F2CE0">
      <w:pPr>
        <w:pStyle w:val="BodyA"/>
        <w:ind w:left="547" w:hanging="547"/>
        <w:rPr>
          <w:rFonts w:ascii="Open Sans" w:hAnsi="Open Sans"/>
        </w:rPr>
      </w:pPr>
      <w:r w:rsidRPr="00034E24">
        <w:rPr>
          <w:rFonts w:ascii="Open Sans" w:hAnsi="Open Sans"/>
        </w:rPr>
        <w:t>1.</w:t>
      </w:r>
      <w:r w:rsidR="002F2CE0">
        <w:rPr>
          <w:rFonts w:ascii="Open Sans" w:hAnsi="Open Sans"/>
        </w:rPr>
        <w:tab/>
      </w:r>
      <w:r w:rsidRPr="00034E24">
        <w:rPr>
          <w:rFonts w:ascii="Open Sans" w:hAnsi="Open Sans"/>
        </w:rPr>
        <w:t>True.</w:t>
      </w:r>
      <w:r w:rsidR="002F2CE0">
        <w:rPr>
          <w:rFonts w:ascii="Open Sans" w:hAnsi="Open Sans"/>
        </w:rPr>
        <w:t xml:space="preserve"> </w:t>
      </w:r>
      <w:r w:rsidRPr="00034E24">
        <w:rPr>
          <w:rFonts w:ascii="Open Sans" w:hAnsi="Open Sans"/>
        </w:rPr>
        <w:t>The offering was filed with the SEC and was a public offering.</w:t>
      </w:r>
    </w:p>
    <w:p w:rsidR="00034E24" w:rsidRPr="00034E24" w:rsidRDefault="00034E24" w:rsidP="00034E24">
      <w:pPr>
        <w:pStyle w:val="BodyA"/>
        <w:ind w:left="0"/>
        <w:rPr>
          <w:rFonts w:ascii="Open Sans" w:hAnsi="Open Sans"/>
        </w:rPr>
      </w:pPr>
    </w:p>
    <w:p w:rsidR="00034E24" w:rsidRPr="00034E24" w:rsidRDefault="00034E24" w:rsidP="002F2CE0">
      <w:pPr>
        <w:pStyle w:val="BodyA"/>
        <w:tabs>
          <w:tab w:val="clear" w:pos="540"/>
        </w:tabs>
        <w:ind w:left="547" w:hanging="547"/>
        <w:rPr>
          <w:rFonts w:ascii="Open Sans" w:hAnsi="Open Sans"/>
        </w:rPr>
      </w:pPr>
      <w:r w:rsidRPr="00034E24">
        <w:rPr>
          <w:rFonts w:ascii="Open Sans" w:hAnsi="Open Sans"/>
        </w:rPr>
        <w:t>2.</w:t>
      </w:r>
      <w:r w:rsidR="002F2CE0">
        <w:rPr>
          <w:rFonts w:ascii="Open Sans" w:hAnsi="Open Sans"/>
        </w:rPr>
        <w:tab/>
      </w:r>
      <w:r w:rsidRPr="00034E24">
        <w:rPr>
          <w:rFonts w:ascii="Open Sans" w:hAnsi="Open Sans"/>
        </w:rPr>
        <w:t>True.</w:t>
      </w:r>
      <w:r w:rsidR="002F2CE0">
        <w:rPr>
          <w:rFonts w:ascii="Open Sans" w:hAnsi="Open Sans"/>
        </w:rPr>
        <w:t xml:space="preserve"> </w:t>
      </w:r>
      <w:r w:rsidRPr="00034E24">
        <w:rPr>
          <w:rFonts w:ascii="Open Sans" w:hAnsi="Open Sans"/>
        </w:rPr>
        <w:t>This is the essence of the 1933 Act.</w:t>
      </w:r>
      <w:r w:rsidR="002F2CE0">
        <w:rPr>
          <w:rFonts w:ascii="Open Sans" w:hAnsi="Open Sans"/>
        </w:rPr>
        <w:t xml:space="preserve"> </w:t>
      </w:r>
      <w:r w:rsidRPr="00034E24">
        <w:rPr>
          <w:rFonts w:ascii="Open Sans" w:hAnsi="Open Sans"/>
        </w:rPr>
        <w:t>The effect of The Securities Act of 1933 is to give to third parties who purchase registered securities similar rights against the auditor as are possessed by the client under law.</w:t>
      </w:r>
    </w:p>
    <w:p w:rsidR="00034E24" w:rsidRPr="00034E24" w:rsidRDefault="00034E24" w:rsidP="00034E24">
      <w:pPr>
        <w:pStyle w:val="BodyA"/>
        <w:tabs>
          <w:tab w:val="clear" w:pos="540"/>
        </w:tabs>
        <w:ind w:hanging="360"/>
        <w:rPr>
          <w:rFonts w:ascii="Open Sans" w:hAnsi="Open Sans"/>
        </w:rPr>
      </w:pPr>
    </w:p>
    <w:p w:rsidR="00034E24" w:rsidRPr="00034E24" w:rsidRDefault="00034E24" w:rsidP="002F2CE0">
      <w:pPr>
        <w:pStyle w:val="BodyA"/>
        <w:tabs>
          <w:tab w:val="clear" w:pos="540"/>
        </w:tabs>
        <w:ind w:left="547" w:hanging="547"/>
        <w:rPr>
          <w:rFonts w:ascii="Open Sans" w:hAnsi="Open Sans"/>
        </w:rPr>
      </w:pPr>
      <w:r w:rsidRPr="00034E24">
        <w:rPr>
          <w:rFonts w:ascii="Open Sans" w:hAnsi="Open Sans"/>
        </w:rPr>
        <w:t>3.</w:t>
      </w:r>
      <w:r w:rsidR="002F2CE0">
        <w:rPr>
          <w:rFonts w:ascii="Open Sans" w:hAnsi="Open Sans"/>
        </w:rPr>
        <w:tab/>
      </w:r>
      <w:r w:rsidRPr="00034E24">
        <w:rPr>
          <w:rFonts w:ascii="Open Sans" w:hAnsi="Open Sans"/>
        </w:rPr>
        <w:t>True.</w:t>
      </w:r>
      <w:r w:rsidR="002F2CE0">
        <w:rPr>
          <w:rFonts w:ascii="Open Sans" w:hAnsi="Open Sans"/>
        </w:rPr>
        <w:t xml:space="preserve"> </w:t>
      </w:r>
      <w:r w:rsidRPr="00034E24">
        <w:rPr>
          <w:rFonts w:ascii="Open Sans" w:hAnsi="Open Sans"/>
        </w:rPr>
        <w:t xml:space="preserve">Accountants have no liability if they can show that their work was adequate to support their opinion. (This is the </w:t>
      </w:r>
      <w:r>
        <w:rPr>
          <w:rFonts w:ascii="Arial Unicode MS" w:hAnsi="Arial Unicode MS"/>
          <w:rtl/>
          <w:lang w:val="ar-SA"/>
        </w:rPr>
        <w:t>“</w:t>
      </w:r>
      <w:r w:rsidRPr="00034E24">
        <w:rPr>
          <w:rFonts w:ascii="Open Sans" w:hAnsi="Open Sans"/>
          <w:lang w:val="it-IT"/>
        </w:rPr>
        <w:t>due diligence</w:t>
      </w:r>
      <w:r w:rsidRPr="00034E24">
        <w:rPr>
          <w:rFonts w:ascii="Open Sans" w:hAnsi="Open Sans"/>
        </w:rPr>
        <w:t>” defense).</w:t>
      </w:r>
    </w:p>
    <w:p w:rsidR="00034E24" w:rsidRPr="00034E24" w:rsidRDefault="00034E24" w:rsidP="00034E24">
      <w:pPr>
        <w:pStyle w:val="BodyA"/>
        <w:tabs>
          <w:tab w:val="clear" w:pos="540"/>
        </w:tabs>
        <w:ind w:hanging="360"/>
        <w:rPr>
          <w:rFonts w:ascii="Open Sans" w:hAnsi="Open Sans"/>
        </w:rPr>
      </w:pPr>
    </w:p>
    <w:p w:rsidR="00034E24" w:rsidRPr="00034E24" w:rsidRDefault="00034E24" w:rsidP="002F2CE0">
      <w:pPr>
        <w:pStyle w:val="BodyA"/>
        <w:tabs>
          <w:tab w:val="clear" w:pos="540"/>
        </w:tabs>
        <w:ind w:left="547" w:hanging="547"/>
        <w:rPr>
          <w:rFonts w:ascii="Open Sans" w:hAnsi="Open Sans"/>
        </w:rPr>
      </w:pPr>
      <w:r w:rsidRPr="00034E24">
        <w:rPr>
          <w:rFonts w:ascii="Open Sans" w:hAnsi="Open Sans"/>
        </w:rPr>
        <w:t>4.</w:t>
      </w:r>
      <w:r w:rsidR="002F2CE0">
        <w:rPr>
          <w:rFonts w:ascii="Open Sans" w:hAnsi="Open Sans"/>
        </w:rPr>
        <w:tab/>
      </w:r>
      <w:r w:rsidRPr="00034E24">
        <w:rPr>
          <w:rFonts w:ascii="Open Sans" w:hAnsi="Open Sans"/>
        </w:rPr>
        <w:t>True.</w:t>
      </w:r>
      <w:r w:rsidR="002F2CE0">
        <w:rPr>
          <w:rFonts w:ascii="Open Sans" w:hAnsi="Open Sans"/>
        </w:rPr>
        <w:t xml:space="preserve"> </w:t>
      </w:r>
      <w:r w:rsidRPr="00034E24">
        <w:rPr>
          <w:rFonts w:ascii="Open Sans" w:hAnsi="Open Sans"/>
        </w:rPr>
        <w:t>One defense available to the accountants is to demonstrate that the losses on loans were due to causes other than errors or omissions in the financial statements.</w:t>
      </w:r>
    </w:p>
    <w:p w:rsidR="00034E24" w:rsidRPr="00034E24" w:rsidRDefault="00034E24" w:rsidP="00034E24">
      <w:pPr>
        <w:pStyle w:val="BodyA"/>
        <w:ind w:left="0"/>
        <w:rPr>
          <w:rFonts w:ascii="Open Sans" w:hAnsi="Open Sans"/>
        </w:rPr>
      </w:pPr>
    </w:p>
    <w:p w:rsidR="00034E24" w:rsidRPr="00034E24" w:rsidRDefault="00034E24" w:rsidP="002F2CE0">
      <w:pPr>
        <w:pStyle w:val="BodyA"/>
        <w:tabs>
          <w:tab w:val="clear" w:pos="540"/>
        </w:tabs>
        <w:ind w:left="547" w:hanging="547"/>
        <w:rPr>
          <w:rFonts w:ascii="Open Sans" w:hAnsi="Open Sans"/>
        </w:rPr>
      </w:pPr>
      <w:r w:rsidRPr="00034E24">
        <w:rPr>
          <w:rFonts w:ascii="Open Sans" w:hAnsi="Open Sans"/>
        </w:rPr>
        <w:t>5.</w:t>
      </w:r>
      <w:r w:rsidR="002F2CE0">
        <w:rPr>
          <w:rFonts w:ascii="Open Sans" w:hAnsi="Open Sans"/>
        </w:rPr>
        <w:tab/>
      </w:r>
      <w:r w:rsidRPr="00034E24">
        <w:rPr>
          <w:rFonts w:ascii="Open Sans" w:hAnsi="Open Sans"/>
        </w:rPr>
        <w:t>True.</w:t>
      </w:r>
      <w:r w:rsidR="002F2CE0">
        <w:rPr>
          <w:rFonts w:ascii="Open Sans" w:hAnsi="Open Sans"/>
        </w:rPr>
        <w:t xml:space="preserve"> </w:t>
      </w:r>
      <w:r w:rsidRPr="00034E24">
        <w:rPr>
          <w:rFonts w:ascii="Open Sans" w:hAnsi="Open Sans"/>
        </w:rPr>
        <w:t>Any action must be filed within three years after the securities have been offered to the public and within one year after the discovery of the error or omission.</w:t>
      </w:r>
    </w:p>
    <w:p w:rsidR="00034E24" w:rsidRPr="00034E24" w:rsidRDefault="00034E24" w:rsidP="00034E24">
      <w:pPr>
        <w:pStyle w:val="BodyA"/>
        <w:tabs>
          <w:tab w:val="clear" w:pos="540"/>
        </w:tabs>
        <w:ind w:hanging="360"/>
        <w:rPr>
          <w:rFonts w:ascii="Open Sans" w:hAnsi="Open Sans"/>
        </w:rPr>
      </w:pPr>
    </w:p>
    <w:p w:rsidR="00034E24" w:rsidRPr="00034E24" w:rsidRDefault="00034E24" w:rsidP="002F2CE0">
      <w:pPr>
        <w:pStyle w:val="BodyA"/>
        <w:tabs>
          <w:tab w:val="clear" w:pos="540"/>
        </w:tabs>
        <w:ind w:left="547" w:hanging="547"/>
        <w:rPr>
          <w:rFonts w:ascii="Open Sans" w:hAnsi="Open Sans"/>
        </w:rPr>
      </w:pPr>
      <w:r w:rsidRPr="00034E24">
        <w:rPr>
          <w:rFonts w:ascii="Open Sans" w:hAnsi="Open Sans"/>
        </w:rPr>
        <w:t>6.</w:t>
      </w:r>
      <w:r w:rsidR="002F2CE0">
        <w:rPr>
          <w:rFonts w:ascii="Open Sans" w:hAnsi="Open Sans"/>
        </w:rPr>
        <w:tab/>
      </w:r>
      <w:r w:rsidRPr="00034E24">
        <w:rPr>
          <w:rFonts w:ascii="Open Sans" w:hAnsi="Open Sans"/>
        </w:rPr>
        <w:t>False.</w:t>
      </w:r>
      <w:r w:rsidR="002F2CE0">
        <w:rPr>
          <w:rFonts w:ascii="Open Sans" w:hAnsi="Open Sans"/>
        </w:rPr>
        <w:t xml:space="preserve"> </w:t>
      </w:r>
      <w:r w:rsidRPr="00034E24">
        <w:rPr>
          <w:rFonts w:ascii="Open Sans" w:hAnsi="Open Sans"/>
        </w:rPr>
        <w:t>That is not the function of the SEC.</w:t>
      </w:r>
      <w:r w:rsidR="002F2CE0">
        <w:rPr>
          <w:rFonts w:ascii="Open Sans" w:hAnsi="Open Sans"/>
        </w:rPr>
        <w:t xml:space="preserve"> </w:t>
      </w:r>
      <w:r w:rsidRPr="00034E24">
        <w:rPr>
          <w:rFonts w:ascii="Open Sans" w:hAnsi="Open Sans"/>
        </w:rPr>
        <w:t>The SEC does not pass judgment on the merit of securities, nor does it defend accountants.</w:t>
      </w:r>
    </w:p>
    <w:p w:rsidR="00034E24" w:rsidRPr="00034E24" w:rsidRDefault="00034E24" w:rsidP="00034E24">
      <w:pPr>
        <w:pStyle w:val="BodyA"/>
        <w:tabs>
          <w:tab w:val="clear" w:pos="540"/>
        </w:tabs>
        <w:ind w:hanging="360"/>
        <w:rPr>
          <w:rFonts w:ascii="Open Sans" w:hAnsi="Open Sans"/>
        </w:rPr>
      </w:pPr>
    </w:p>
    <w:p w:rsidR="00034E24" w:rsidRPr="00034E24" w:rsidRDefault="00034E24" w:rsidP="002F2CE0">
      <w:pPr>
        <w:pStyle w:val="BodyA"/>
        <w:tabs>
          <w:tab w:val="clear" w:pos="540"/>
        </w:tabs>
        <w:ind w:left="547" w:hanging="547"/>
        <w:rPr>
          <w:rFonts w:ascii="Open Sans" w:hAnsi="Open Sans"/>
        </w:rPr>
      </w:pPr>
      <w:r w:rsidRPr="00034E24">
        <w:rPr>
          <w:rFonts w:ascii="Open Sans" w:hAnsi="Open Sans"/>
        </w:rPr>
        <w:t>7.</w:t>
      </w:r>
      <w:r w:rsidR="002F2CE0">
        <w:rPr>
          <w:rFonts w:ascii="Open Sans" w:hAnsi="Open Sans"/>
        </w:rPr>
        <w:tab/>
      </w:r>
      <w:r w:rsidRPr="00034E24">
        <w:rPr>
          <w:rFonts w:ascii="Open Sans" w:hAnsi="Open Sans"/>
        </w:rPr>
        <w:t>False.</w:t>
      </w:r>
      <w:r w:rsidR="002F2CE0">
        <w:rPr>
          <w:rFonts w:ascii="Open Sans" w:hAnsi="Open Sans"/>
        </w:rPr>
        <w:t xml:space="preserve"> </w:t>
      </w:r>
      <w:r w:rsidRPr="00034E24">
        <w:rPr>
          <w:rFonts w:ascii="Open Sans" w:hAnsi="Open Sans"/>
        </w:rPr>
        <w:t>The fact that the financial statements are management</w:t>
      </w:r>
      <w:r>
        <w:rPr>
          <w:rFonts w:ascii="Arial Unicode MS" w:hAnsi="Arial Unicode MS"/>
          <w:rtl/>
          <w:lang w:val="ar-SA"/>
        </w:rPr>
        <w:t>’</w:t>
      </w:r>
      <w:r w:rsidRPr="00034E24">
        <w:rPr>
          <w:rFonts w:ascii="Open Sans" w:hAnsi="Open Sans"/>
        </w:rPr>
        <w:t>s responsibility is not a defense if the auditor knows of loans and collateral pledged that were not disclosed.</w:t>
      </w:r>
    </w:p>
    <w:p w:rsidR="00034E24" w:rsidRPr="00034E24" w:rsidRDefault="00034E24" w:rsidP="00034E24">
      <w:pPr>
        <w:pStyle w:val="BodyA"/>
        <w:ind w:left="0"/>
        <w:rPr>
          <w:rFonts w:ascii="Open Sans" w:hAnsi="Open Sans"/>
          <w:sz w:val="14"/>
          <w:szCs w:val="14"/>
          <w:lang w:val="it-IT"/>
        </w:rPr>
      </w:pPr>
      <w:r w:rsidRPr="00034E24">
        <w:rPr>
          <w:rFonts w:ascii="Open Sans" w:hAnsi="Open Sans"/>
          <w:sz w:val="18"/>
          <w:szCs w:val="18"/>
          <w:lang w:val="it-IT"/>
        </w:rPr>
        <w:t>LO 9..</w:t>
      </w:r>
      <w:r w:rsidR="002F2CE0">
        <w:rPr>
          <w:rFonts w:ascii="Open Sans" w:hAnsi="Open Sans"/>
          <w:sz w:val="18"/>
          <w:szCs w:val="18"/>
          <w:lang w:val="it-IT"/>
        </w:rPr>
        <w:t xml:space="preserve"> </w:t>
      </w:r>
      <w:r w:rsidRPr="00034E24">
        <w:rPr>
          <w:rFonts w:ascii="Open Sans" w:hAnsi="Open Sans"/>
          <w:sz w:val="18"/>
          <w:szCs w:val="18"/>
          <w:lang w:val="it-IT"/>
        </w:rPr>
        <w:t>BT: AN, Difficulty: Moderate, TOT: 25 min., AACSB: None, AICPA: None</w:t>
      </w:r>
    </w:p>
    <w:p w:rsidR="00034E24" w:rsidRPr="00034E24" w:rsidRDefault="00034E24" w:rsidP="00034E24">
      <w:pPr>
        <w:pStyle w:val="BodyA"/>
        <w:ind w:left="0"/>
        <w:rPr>
          <w:rFonts w:ascii="Open Sans" w:hAnsi="Open Sans"/>
        </w:rPr>
      </w:pPr>
    </w:p>
    <w:p w:rsidR="00034E24" w:rsidRPr="00034E24" w:rsidRDefault="00034E24" w:rsidP="00034E24">
      <w:pPr>
        <w:pStyle w:val="BodyA"/>
        <w:ind w:left="0"/>
        <w:rPr>
          <w:rFonts w:ascii="Open Sans" w:hAnsi="Open Sans"/>
          <w:u w:val="single"/>
        </w:rPr>
      </w:pPr>
      <w:r w:rsidRPr="00034E24">
        <w:rPr>
          <w:rFonts w:ascii="Open Sans" w:hAnsi="Open Sans"/>
          <w:b/>
          <w:bCs/>
        </w:rPr>
        <w:t>AP2.10</w:t>
      </w:r>
    </w:p>
    <w:p w:rsidR="00034E24" w:rsidRPr="00034E24" w:rsidRDefault="00034E24" w:rsidP="00034E24">
      <w:pPr>
        <w:pStyle w:val="BodyA"/>
        <w:ind w:left="0"/>
        <w:rPr>
          <w:rFonts w:ascii="Open Sans" w:hAnsi="Open Sans"/>
        </w:rPr>
      </w:pPr>
      <w:r w:rsidRPr="00034E24">
        <w:rPr>
          <w:rFonts w:ascii="Open Sans" w:hAnsi="Open Sans"/>
          <w:u w:val="single"/>
        </w:rPr>
        <w:t>Part I</w:t>
      </w:r>
    </w:p>
    <w:p w:rsidR="002F2CE0" w:rsidRDefault="00034E24" w:rsidP="002F2CE0">
      <w:pPr>
        <w:pStyle w:val="BodyA"/>
        <w:tabs>
          <w:tab w:val="clear" w:pos="540"/>
        </w:tabs>
        <w:ind w:left="547" w:hanging="547"/>
        <w:rPr>
          <w:rFonts w:ascii="Open Sans" w:hAnsi="Open Sans"/>
        </w:rPr>
      </w:pPr>
      <w:proofErr w:type="gramStart"/>
      <w:r w:rsidRPr="00034E24">
        <w:rPr>
          <w:rFonts w:ascii="Open Sans" w:hAnsi="Open Sans"/>
        </w:rPr>
        <w:t>a</w:t>
      </w:r>
      <w:proofErr w:type="gramEnd"/>
      <w:r w:rsidRPr="00034E24">
        <w:rPr>
          <w:rFonts w:ascii="Open Sans" w:hAnsi="Open Sans"/>
        </w:rPr>
        <w:t>.</w:t>
      </w:r>
      <w:r w:rsidR="002F2CE0">
        <w:rPr>
          <w:rFonts w:ascii="Open Sans" w:hAnsi="Open Sans"/>
        </w:rPr>
        <w:tab/>
      </w:r>
      <w:r w:rsidRPr="00034E24">
        <w:rPr>
          <w:rFonts w:ascii="Open Sans" w:hAnsi="Open Sans"/>
        </w:rPr>
        <w:t>No.</w:t>
      </w:r>
      <w:r w:rsidR="002F2CE0">
        <w:rPr>
          <w:rFonts w:ascii="Open Sans" w:hAnsi="Open Sans"/>
        </w:rPr>
        <w:t xml:space="preserve"> </w:t>
      </w:r>
      <w:r w:rsidRPr="00034E24">
        <w:rPr>
          <w:rFonts w:ascii="Open Sans" w:hAnsi="Open Sans"/>
        </w:rPr>
        <w:t>It is unlikely that Peters will prevail.</w:t>
      </w:r>
      <w:r w:rsidR="002F2CE0">
        <w:rPr>
          <w:rFonts w:ascii="Open Sans" w:hAnsi="Open Sans"/>
        </w:rPr>
        <w:t xml:space="preserve"> </w:t>
      </w:r>
      <w:r w:rsidRPr="00034E24">
        <w:rPr>
          <w:rFonts w:ascii="Open Sans" w:hAnsi="Open Sans"/>
        </w:rPr>
        <w:t>The facts do not involve liability in the sale of registered securities or liability for reports filed with the SEC.</w:t>
      </w:r>
      <w:r w:rsidR="002F2CE0">
        <w:rPr>
          <w:rFonts w:ascii="Open Sans" w:hAnsi="Open Sans"/>
        </w:rPr>
        <w:t xml:space="preserve"> </w:t>
      </w:r>
      <w:r w:rsidRPr="00034E24">
        <w:rPr>
          <w:rFonts w:ascii="Open Sans" w:hAnsi="Open Sans"/>
        </w:rPr>
        <w:t>Because the stock transaction involved interstate commerce, Peters</w:t>
      </w:r>
      <w:r>
        <w:rPr>
          <w:rFonts w:ascii="Arial Unicode MS" w:hAnsi="Arial Unicode MS"/>
          <w:rtl/>
          <w:lang w:val="ar-SA"/>
        </w:rPr>
        <w:t xml:space="preserve">’ </w:t>
      </w:r>
      <w:r w:rsidRPr="00034E24">
        <w:rPr>
          <w:rFonts w:ascii="Open Sans" w:hAnsi="Open Sans"/>
        </w:rPr>
        <w:t>claim may be based on Section 17 (the antifraud provision) of The Securities Act of 1933 and Rule 10b-5 under The Securities Exchange Act of 1934.</w:t>
      </w:r>
      <w:r w:rsidR="002F2CE0">
        <w:rPr>
          <w:rFonts w:ascii="Open Sans" w:hAnsi="Open Sans"/>
        </w:rPr>
        <w:t xml:space="preserve"> </w:t>
      </w:r>
      <w:r w:rsidRPr="00034E24">
        <w:rPr>
          <w:rFonts w:ascii="Open Sans" w:hAnsi="Open Sans"/>
        </w:rPr>
        <w:t>In either case, he will have to show fraud on the part of Doe, or a manipulative device or scheme, in connection with the sale of a security under the 1933 Act or the purchase or sale of a security under the 1934 Act.</w:t>
      </w:r>
      <w:r w:rsidR="002F2CE0">
        <w:rPr>
          <w:rFonts w:ascii="Open Sans" w:hAnsi="Open Sans"/>
        </w:rPr>
        <w:t xml:space="preserve"> </w:t>
      </w:r>
      <w:r w:rsidRPr="00034E24">
        <w:rPr>
          <w:rFonts w:ascii="Open Sans" w:hAnsi="Open Sans"/>
        </w:rPr>
        <w:t>If this can be shown, an implied civil damage remedy is available to Peters against Doe.</w:t>
      </w:r>
    </w:p>
    <w:p w:rsidR="00034E24" w:rsidRPr="00034E24" w:rsidRDefault="00034E24" w:rsidP="00034E24">
      <w:pPr>
        <w:pStyle w:val="BodyA"/>
        <w:tabs>
          <w:tab w:val="clear" w:pos="540"/>
        </w:tabs>
        <w:ind w:hanging="360"/>
        <w:rPr>
          <w:rFonts w:ascii="Open Sans" w:hAnsi="Open Sans"/>
        </w:rPr>
      </w:pPr>
    </w:p>
    <w:p w:rsidR="00034E24" w:rsidRPr="00034E24" w:rsidRDefault="00034E24" w:rsidP="002F2CE0">
      <w:pPr>
        <w:pStyle w:val="BodyA"/>
        <w:tabs>
          <w:tab w:val="clear" w:pos="540"/>
        </w:tabs>
        <w:ind w:left="547"/>
        <w:rPr>
          <w:rFonts w:ascii="Open Sans" w:hAnsi="Open Sans"/>
        </w:rPr>
      </w:pPr>
      <w:r w:rsidRPr="00034E24">
        <w:rPr>
          <w:rFonts w:ascii="Open Sans" w:hAnsi="Open Sans"/>
        </w:rPr>
        <w:t xml:space="preserve">Although Doe was negligent, the United States Supreme Court, in the </w:t>
      </w:r>
      <w:r w:rsidRPr="00034E24">
        <w:rPr>
          <w:rFonts w:ascii="Open Sans" w:hAnsi="Open Sans"/>
          <w:i/>
          <w:iCs/>
          <w:lang w:val="de-DE"/>
        </w:rPr>
        <w:t>Hochfelder</w:t>
      </w:r>
      <w:r w:rsidRPr="00034E24">
        <w:rPr>
          <w:rFonts w:ascii="Open Sans" w:hAnsi="Open Sans"/>
        </w:rPr>
        <w:t xml:space="preserve"> case, held that a violation of Rule 10b-5 requires </w:t>
      </w:r>
      <w:proofErr w:type="spellStart"/>
      <w:r w:rsidRPr="00034E24">
        <w:rPr>
          <w:rFonts w:ascii="Open Sans" w:hAnsi="Open Sans"/>
        </w:rPr>
        <w:t>scienter</w:t>
      </w:r>
      <w:proofErr w:type="spellEnd"/>
      <w:r w:rsidRPr="00034E24">
        <w:rPr>
          <w:rFonts w:ascii="Open Sans" w:hAnsi="Open Sans"/>
        </w:rPr>
        <w:t>, something greater than mere negligence.</w:t>
      </w:r>
      <w:r w:rsidR="002F2CE0">
        <w:rPr>
          <w:rFonts w:ascii="Open Sans" w:hAnsi="Open Sans"/>
        </w:rPr>
        <w:t xml:space="preserve"> </w:t>
      </w:r>
      <w:r w:rsidRPr="00034E24">
        <w:rPr>
          <w:rFonts w:ascii="Open Sans" w:hAnsi="Open Sans"/>
        </w:rPr>
        <w:t>Unless the violation of GAAS involves intent, or gross negligence, Doe would not be held in violation of Rule 10b-5.</w:t>
      </w:r>
    </w:p>
    <w:p w:rsidR="00034E24" w:rsidRPr="00034E24" w:rsidRDefault="00034E24" w:rsidP="00034E24">
      <w:pPr>
        <w:pStyle w:val="BodyA"/>
        <w:tabs>
          <w:tab w:val="clear" w:pos="540"/>
        </w:tabs>
        <w:ind w:hanging="360"/>
        <w:rPr>
          <w:rFonts w:ascii="Open Sans" w:hAnsi="Open Sans"/>
        </w:rPr>
      </w:pPr>
    </w:p>
    <w:p w:rsidR="002F2CE0" w:rsidRDefault="00034E24" w:rsidP="002F2CE0">
      <w:pPr>
        <w:pStyle w:val="BodyA"/>
        <w:tabs>
          <w:tab w:val="clear" w:pos="540"/>
        </w:tabs>
        <w:ind w:left="547" w:hanging="547"/>
        <w:rPr>
          <w:rFonts w:ascii="Open Sans" w:hAnsi="Open Sans"/>
        </w:rPr>
      </w:pPr>
      <w:r w:rsidRPr="00034E24">
        <w:rPr>
          <w:rFonts w:ascii="Open Sans" w:hAnsi="Open Sans"/>
        </w:rPr>
        <w:t>b.</w:t>
      </w:r>
      <w:r w:rsidR="002F2CE0">
        <w:rPr>
          <w:rFonts w:ascii="Open Sans" w:hAnsi="Open Sans"/>
        </w:rPr>
        <w:tab/>
      </w:r>
      <w:r w:rsidRPr="00034E24">
        <w:rPr>
          <w:rFonts w:ascii="Open Sans" w:hAnsi="Open Sans"/>
        </w:rPr>
        <w:t>Likely.</w:t>
      </w:r>
      <w:r w:rsidR="002F2CE0">
        <w:rPr>
          <w:rFonts w:ascii="Open Sans" w:hAnsi="Open Sans"/>
        </w:rPr>
        <w:t xml:space="preserve"> </w:t>
      </w:r>
      <w:r w:rsidRPr="00034E24">
        <w:rPr>
          <w:rFonts w:ascii="Open Sans" w:hAnsi="Open Sans"/>
        </w:rPr>
        <w:t>It is likely that Peters will prevail based upon his state</w:t>
      </w:r>
      <w:r>
        <w:rPr>
          <w:rFonts w:ascii="Arial Unicode MS" w:hAnsi="Arial Unicode MS"/>
          <w:rtl/>
          <w:lang w:val="ar-SA"/>
        </w:rPr>
        <w:t>’</w:t>
      </w:r>
      <w:r w:rsidRPr="00034E24">
        <w:rPr>
          <w:rFonts w:ascii="Open Sans" w:hAnsi="Open Sans"/>
        </w:rPr>
        <w:t>s common law action.</w:t>
      </w:r>
      <w:r w:rsidR="002F2CE0">
        <w:rPr>
          <w:rFonts w:ascii="Open Sans" w:hAnsi="Open Sans"/>
        </w:rPr>
        <w:t xml:space="preserve"> </w:t>
      </w:r>
      <w:r w:rsidRPr="00034E24">
        <w:rPr>
          <w:rFonts w:ascii="Open Sans" w:hAnsi="Open Sans"/>
        </w:rPr>
        <w:t>At common law, a key issue is whether Doe &amp; Co. owed a duty of care to Peters.</w:t>
      </w:r>
      <w:r w:rsidR="002F2CE0">
        <w:rPr>
          <w:rFonts w:ascii="Open Sans" w:hAnsi="Open Sans"/>
        </w:rPr>
        <w:t xml:space="preserve"> </w:t>
      </w:r>
      <w:r w:rsidRPr="00034E24">
        <w:rPr>
          <w:rFonts w:ascii="Open Sans" w:hAnsi="Open Sans"/>
        </w:rPr>
        <w:t xml:space="preserve">Under the Restatement of Torts doctrine Peters would be a foreseen third party as a </w:t>
      </w:r>
      <w:r w:rsidRPr="00034E24">
        <w:rPr>
          <w:rFonts w:ascii="Open Sans" w:hAnsi="Open Sans"/>
        </w:rPr>
        <w:lastRenderedPageBreak/>
        <w:t>shareholder in the company.</w:t>
      </w:r>
      <w:r w:rsidR="002F2CE0">
        <w:rPr>
          <w:rFonts w:ascii="Open Sans" w:hAnsi="Open Sans"/>
        </w:rPr>
        <w:t xml:space="preserve"> </w:t>
      </w:r>
      <w:r w:rsidRPr="00034E24">
        <w:rPr>
          <w:rFonts w:ascii="Open Sans" w:hAnsi="Open Sans"/>
        </w:rPr>
        <w:t>Doe &amp; Co. would be responsible for not carefully following GAAS.</w:t>
      </w:r>
    </w:p>
    <w:p w:rsidR="00034E24" w:rsidRPr="00034E24" w:rsidRDefault="00034E24" w:rsidP="00034E24">
      <w:pPr>
        <w:pStyle w:val="BodyA"/>
        <w:ind w:left="0"/>
        <w:rPr>
          <w:rFonts w:ascii="Open Sans" w:hAnsi="Open Sans"/>
        </w:rPr>
      </w:pPr>
    </w:p>
    <w:p w:rsidR="00034E24" w:rsidRPr="00034E24" w:rsidRDefault="00034E24" w:rsidP="00034E24">
      <w:pPr>
        <w:pStyle w:val="BodyA"/>
        <w:ind w:left="0"/>
        <w:rPr>
          <w:rFonts w:ascii="Open Sans" w:hAnsi="Open Sans"/>
          <w:u w:val="single"/>
        </w:rPr>
      </w:pPr>
      <w:r w:rsidRPr="00034E24">
        <w:rPr>
          <w:rFonts w:ascii="Open Sans" w:hAnsi="Open Sans"/>
          <w:u w:val="single"/>
        </w:rPr>
        <w:t>Part II</w:t>
      </w:r>
    </w:p>
    <w:p w:rsidR="00034E24" w:rsidRPr="00034E24" w:rsidRDefault="00034E24" w:rsidP="00034E24">
      <w:pPr>
        <w:pStyle w:val="BodyA"/>
        <w:ind w:left="0"/>
        <w:rPr>
          <w:rFonts w:ascii="Open Sans" w:hAnsi="Open Sans"/>
        </w:rPr>
      </w:pPr>
      <w:r w:rsidRPr="00034E24">
        <w:rPr>
          <w:rFonts w:ascii="Open Sans" w:hAnsi="Open Sans"/>
        </w:rPr>
        <w:t>Yes.</w:t>
      </w:r>
      <w:r w:rsidR="002F2CE0">
        <w:rPr>
          <w:rFonts w:ascii="Open Sans" w:hAnsi="Open Sans"/>
        </w:rPr>
        <w:t xml:space="preserve"> </w:t>
      </w:r>
      <w:r w:rsidRPr="00034E24">
        <w:rPr>
          <w:rFonts w:ascii="Open Sans" w:hAnsi="Open Sans"/>
        </w:rPr>
        <w:t>Ira will likely prevail and recover damages from Baker.</w:t>
      </w:r>
      <w:r w:rsidR="002F2CE0">
        <w:rPr>
          <w:rFonts w:ascii="Open Sans" w:hAnsi="Open Sans"/>
        </w:rPr>
        <w:t xml:space="preserve"> </w:t>
      </w:r>
      <w:r w:rsidRPr="00034E24">
        <w:rPr>
          <w:rFonts w:ascii="Open Sans" w:hAnsi="Open Sans"/>
        </w:rPr>
        <w:t>He will base his action on Section 11 of The Securities Act of 1933.</w:t>
      </w:r>
      <w:r w:rsidR="002F2CE0">
        <w:rPr>
          <w:rFonts w:ascii="Open Sans" w:hAnsi="Open Sans"/>
        </w:rPr>
        <w:t xml:space="preserve"> </w:t>
      </w:r>
      <w:r w:rsidRPr="00034E24">
        <w:rPr>
          <w:rFonts w:ascii="Open Sans" w:hAnsi="Open Sans"/>
        </w:rPr>
        <w:t>Section 11 imposes liability on experts, including accountants, whose opinions appear in a registration statement.</w:t>
      </w:r>
      <w:r w:rsidR="002F2CE0">
        <w:rPr>
          <w:rFonts w:ascii="Open Sans" w:hAnsi="Open Sans"/>
        </w:rPr>
        <w:t xml:space="preserve"> </w:t>
      </w:r>
      <w:r w:rsidRPr="00034E24">
        <w:rPr>
          <w:rFonts w:ascii="Open Sans" w:hAnsi="Open Sans"/>
        </w:rPr>
        <w:t>The experts are liable to all those who, in reliance on their opinions, purchase securities in a public offering under The Securities Act of 1933.</w:t>
      </w:r>
      <w:r w:rsidR="002F2CE0">
        <w:rPr>
          <w:rFonts w:ascii="Open Sans" w:hAnsi="Open Sans"/>
        </w:rPr>
        <w:t xml:space="preserve"> </w:t>
      </w:r>
      <w:r w:rsidRPr="00034E24">
        <w:rPr>
          <w:rFonts w:ascii="Open Sans" w:hAnsi="Open Sans"/>
        </w:rPr>
        <w:t>Ira does not have to prove Baker was negligent in auditing Able.</w:t>
      </w:r>
      <w:r w:rsidR="002F2CE0">
        <w:rPr>
          <w:rFonts w:ascii="Open Sans" w:hAnsi="Open Sans"/>
        </w:rPr>
        <w:t xml:space="preserve"> </w:t>
      </w:r>
      <w:r w:rsidRPr="00034E24">
        <w:rPr>
          <w:rFonts w:ascii="Open Sans" w:hAnsi="Open Sans"/>
        </w:rPr>
        <w:t>All he needs to allege and prove is that there is a materially false statement or omission of a material fact in the registration statement.</w:t>
      </w:r>
      <w:r w:rsidR="002F2CE0">
        <w:rPr>
          <w:rFonts w:ascii="Open Sans" w:hAnsi="Open Sans"/>
        </w:rPr>
        <w:t xml:space="preserve"> </w:t>
      </w:r>
      <w:r w:rsidRPr="00034E24">
        <w:rPr>
          <w:rFonts w:ascii="Open Sans" w:hAnsi="Open Sans"/>
        </w:rPr>
        <w:t>The only defense that Baker may assert is that it exercised the degree of care that would be exercised by certified public accountants in similar circumstances.</w:t>
      </w:r>
      <w:r w:rsidR="002F2CE0">
        <w:rPr>
          <w:rFonts w:ascii="Open Sans" w:hAnsi="Open Sans"/>
        </w:rPr>
        <w:t xml:space="preserve"> </w:t>
      </w:r>
      <w:r w:rsidRPr="00034E24">
        <w:rPr>
          <w:rFonts w:ascii="Open Sans" w:hAnsi="Open Sans"/>
        </w:rPr>
        <w:t xml:space="preserve">This is commonly referred to as the </w:t>
      </w:r>
      <w:r>
        <w:rPr>
          <w:rFonts w:ascii="Arial Unicode MS" w:hAnsi="Arial Unicode MS"/>
          <w:rtl/>
          <w:lang w:val="ar-SA"/>
        </w:rPr>
        <w:t>“</w:t>
      </w:r>
      <w:r w:rsidRPr="00034E24">
        <w:rPr>
          <w:rFonts w:ascii="Open Sans" w:hAnsi="Open Sans"/>
          <w:lang w:val="it-IT"/>
        </w:rPr>
        <w:t>due diligence</w:t>
      </w:r>
      <w:r w:rsidRPr="00034E24">
        <w:rPr>
          <w:rFonts w:ascii="Open Sans" w:hAnsi="Open Sans"/>
        </w:rPr>
        <w:t>” defense.</w:t>
      </w:r>
      <w:r w:rsidR="002F2CE0">
        <w:rPr>
          <w:rFonts w:ascii="Open Sans" w:hAnsi="Open Sans"/>
        </w:rPr>
        <w:t xml:space="preserve"> </w:t>
      </w:r>
      <w:r w:rsidRPr="00034E24">
        <w:rPr>
          <w:rFonts w:ascii="Open Sans" w:hAnsi="Open Sans"/>
        </w:rPr>
        <w:t>Negligence by Baker is therefore a violation of Section II and makes Baker liable to Ira for his damages.</w:t>
      </w:r>
    </w:p>
    <w:p w:rsidR="00034E24" w:rsidRPr="00034E24" w:rsidRDefault="00034E24" w:rsidP="00034E24">
      <w:pPr>
        <w:pStyle w:val="BodyA"/>
        <w:ind w:left="0"/>
        <w:rPr>
          <w:rFonts w:ascii="Open Sans" w:hAnsi="Open Sans"/>
          <w:sz w:val="14"/>
          <w:szCs w:val="14"/>
        </w:rPr>
      </w:pPr>
      <w:r w:rsidRPr="00034E24">
        <w:rPr>
          <w:rFonts w:ascii="Open Sans" w:hAnsi="Open Sans"/>
          <w:sz w:val="18"/>
          <w:szCs w:val="18"/>
        </w:rPr>
        <w:t>LO 8</w:t>
      </w:r>
      <w:proofErr w:type="gramStart"/>
      <w:r w:rsidRPr="00034E24">
        <w:rPr>
          <w:rFonts w:ascii="Open Sans" w:hAnsi="Open Sans"/>
          <w:sz w:val="18"/>
          <w:szCs w:val="18"/>
        </w:rPr>
        <w:t>,9</w:t>
      </w:r>
      <w:proofErr w:type="gramEnd"/>
      <w:r w:rsidRPr="00034E24">
        <w:rPr>
          <w:rFonts w:ascii="Open Sans" w:hAnsi="Open Sans"/>
          <w:sz w:val="18"/>
          <w:szCs w:val="18"/>
        </w:rPr>
        <w:t>.</w:t>
      </w:r>
      <w:r w:rsidR="002F2CE0">
        <w:rPr>
          <w:rFonts w:ascii="Open Sans" w:hAnsi="Open Sans"/>
          <w:sz w:val="18"/>
          <w:szCs w:val="18"/>
        </w:rPr>
        <w:t xml:space="preserve"> </w:t>
      </w:r>
      <w:r w:rsidRPr="00034E24">
        <w:rPr>
          <w:rFonts w:ascii="Open Sans" w:hAnsi="Open Sans"/>
          <w:sz w:val="18"/>
          <w:szCs w:val="18"/>
        </w:rPr>
        <w:t>BT: E, Difficulty: Challenging, TOT: 25 min., AACSB: None, AICPA: None</w:t>
      </w:r>
    </w:p>
    <w:p w:rsidR="00034E24" w:rsidRPr="00034E24" w:rsidRDefault="00034E24" w:rsidP="00034E24">
      <w:pPr>
        <w:pStyle w:val="BodyA"/>
        <w:ind w:left="0"/>
        <w:rPr>
          <w:rFonts w:ascii="Open Sans" w:hAnsi="Open Sans"/>
        </w:rPr>
      </w:pPr>
    </w:p>
    <w:p w:rsidR="002F2CE0" w:rsidRDefault="00034E24" w:rsidP="00034E24">
      <w:pPr>
        <w:pStyle w:val="BodyA"/>
        <w:ind w:left="0"/>
        <w:rPr>
          <w:rFonts w:ascii="Open Sans" w:hAnsi="Open Sans"/>
        </w:rPr>
      </w:pPr>
      <w:r w:rsidRPr="00034E24">
        <w:rPr>
          <w:rFonts w:ascii="Open Sans" w:hAnsi="Open Sans"/>
          <w:b/>
          <w:bCs/>
        </w:rPr>
        <w:t>AP2.11</w:t>
      </w:r>
      <w:r w:rsidRPr="00034E24">
        <w:rPr>
          <w:rFonts w:ascii="Open Sans" w:hAnsi="Open Sans"/>
        </w:rPr>
        <w:t xml:space="preserve"> </w:t>
      </w:r>
      <w:proofErr w:type="spellStart"/>
      <w:r w:rsidRPr="00034E24">
        <w:rPr>
          <w:rFonts w:ascii="Open Sans" w:hAnsi="Open Sans"/>
        </w:rPr>
        <w:t>Crea</w:t>
      </w:r>
      <w:proofErr w:type="spellEnd"/>
      <w:r w:rsidRPr="00034E24">
        <w:rPr>
          <w:rFonts w:ascii="Open Sans" w:hAnsi="Open Sans"/>
        </w:rPr>
        <w:t xml:space="preserve"> will not be liable to the purchasers of the common stock.</w:t>
      </w:r>
      <w:r w:rsidR="002F2CE0">
        <w:rPr>
          <w:rFonts w:ascii="Open Sans" w:hAnsi="Open Sans"/>
        </w:rPr>
        <w:t xml:space="preserve"> </w:t>
      </w:r>
      <w:r w:rsidRPr="00034E24">
        <w:rPr>
          <w:rFonts w:ascii="Open Sans" w:hAnsi="Open Sans"/>
        </w:rPr>
        <w:t>Although an offering of securities made pursuant to Regulation D is exempt from the registration requirements of The Securities Act of 1933, the antifraud provisions of the federal securities acts continue to apply.</w:t>
      </w:r>
      <w:r w:rsidR="002F2CE0">
        <w:rPr>
          <w:rFonts w:ascii="Open Sans" w:hAnsi="Open Sans"/>
        </w:rPr>
        <w:t xml:space="preserve"> </w:t>
      </w:r>
      <w:r w:rsidRPr="00034E24">
        <w:rPr>
          <w:rFonts w:ascii="Open Sans" w:hAnsi="Open Sans"/>
        </w:rPr>
        <w:t>In order to establish a cause of action under Section 10(b) and Rule 10b-5 of The Securities Act of 1934, the purchasers generally must show that:</w:t>
      </w:r>
    </w:p>
    <w:p w:rsidR="00034E24" w:rsidRPr="00034E24" w:rsidRDefault="00034E24" w:rsidP="004A6B78">
      <w:pPr>
        <w:pStyle w:val="ListParagraph"/>
        <w:numPr>
          <w:ilvl w:val="0"/>
          <w:numId w:val="34"/>
        </w:numPr>
        <w:ind w:left="547" w:hanging="547"/>
        <w:rPr>
          <w:rFonts w:ascii="Open Sans" w:hAnsi="Open Sans"/>
        </w:rPr>
      </w:pPr>
      <w:proofErr w:type="spellStart"/>
      <w:r w:rsidRPr="00034E24">
        <w:rPr>
          <w:rFonts w:ascii="Open Sans" w:hAnsi="Open Sans"/>
        </w:rPr>
        <w:t>Crea</w:t>
      </w:r>
      <w:proofErr w:type="spellEnd"/>
      <w:r w:rsidRPr="00034E24">
        <w:rPr>
          <w:rFonts w:ascii="Open Sans" w:hAnsi="Open Sans"/>
        </w:rPr>
        <w:t xml:space="preserve"> made a material misrepresentation or omission in connection with the purchase or sale of a security;</w:t>
      </w:r>
    </w:p>
    <w:p w:rsidR="00034E24" w:rsidRPr="00034E24" w:rsidRDefault="00034E24" w:rsidP="004A6B78">
      <w:pPr>
        <w:pStyle w:val="ListParagraph"/>
        <w:numPr>
          <w:ilvl w:val="0"/>
          <w:numId w:val="34"/>
        </w:numPr>
        <w:ind w:left="547" w:hanging="547"/>
        <w:rPr>
          <w:rFonts w:ascii="Open Sans" w:hAnsi="Open Sans"/>
        </w:rPr>
      </w:pPr>
      <w:proofErr w:type="spellStart"/>
      <w:r w:rsidRPr="00034E24">
        <w:rPr>
          <w:rFonts w:ascii="Open Sans" w:hAnsi="Open Sans"/>
        </w:rPr>
        <w:t>Crea</w:t>
      </w:r>
      <w:proofErr w:type="spellEnd"/>
      <w:r w:rsidRPr="00034E24">
        <w:rPr>
          <w:rFonts w:ascii="Open Sans" w:hAnsi="Open Sans"/>
        </w:rPr>
        <w:t xml:space="preserve"> acted with some element of </w:t>
      </w:r>
      <w:proofErr w:type="spellStart"/>
      <w:r w:rsidRPr="00034E24">
        <w:rPr>
          <w:rFonts w:ascii="Open Sans" w:hAnsi="Open Sans"/>
          <w:i/>
          <w:iCs/>
        </w:rPr>
        <w:t>scienter</w:t>
      </w:r>
      <w:proofErr w:type="spellEnd"/>
      <w:r w:rsidRPr="00034E24">
        <w:rPr>
          <w:rFonts w:ascii="Open Sans" w:hAnsi="Open Sans"/>
        </w:rPr>
        <w:t xml:space="preserve"> (intentional or willful conduct);</w:t>
      </w:r>
    </w:p>
    <w:p w:rsidR="00034E24" w:rsidRPr="00034E24" w:rsidRDefault="00034E24" w:rsidP="004A6B78">
      <w:pPr>
        <w:pStyle w:val="ListParagraph"/>
        <w:numPr>
          <w:ilvl w:val="0"/>
          <w:numId w:val="34"/>
        </w:numPr>
        <w:ind w:left="547" w:hanging="547"/>
        <w:rPr>
          <w:rFonts w:ascii="Open Sans" w:hAnsi="Open Sans"/>
        </w:rPr>
      </w:pPr>
      <w:proofErr w:type="spellStart"/>
      <w:r w:rsidRPr="00034E24">
        <w:rPr>
          <w:rFonts w:ascii="Open Sans" w:hAnsi="Open Sans"/>
        </w:rPr>
        <w:t>Crea’s</w:t>
      </w:r>
      <w:proofErr w:type="spellEnd"/>
      <w:r w:rsidRPr="00034E24">
        <w:rPr>
          <w:rFonts w:ascii="Open Sans" w:hAnsi="Open Sans"/>
        </w:rPr>
        <w:t xml:space="preserve"> wrongful conduct was material;</w:t>
      </w:r>
    </w:p>
    <w:p w:rsidR="00034E24" w:rsidRPr="00034E24" w:rsidRDefault="00034E24" w:rsidP="004A6B78">
      <w:pPr>
        <w:pStyle w:val="ListParagraph"/>
        <w:numPr>
          <w:ilvl w:val="0"/>
          <w:numId w:val="34"/>
        </w:numPr>
        <w:ind w:left="547" w:hanging="547"/>
        <w:rPr>
          <w:rFonts w:ascii="Open Sans" w:hAnsi="Open Sans"/>
        </w:rPr>
      </w:pPr>
      <w:r w:rsidRPr="00034E24">
        <w:rPr>
          <w:rFonts w:ascii="Open Sans" w:hAnsi="Open Sans"/>
        </w:rPr>
        <w:t xml:space="preserve">the purchasers relied on </w:t>
      </w:r>
      <w:proofErr w:type="spellStart"/>
      <w:r w:rsidRPr="00034E24">
        <w:rPr>
          <w:rFonts w:ascii="Open Sans" w:hAnsi="Open Sans"/>
        </w:rPr>
        <w:t>Crea’s</w:t>
      </w:r>
      <w:proofErr w:type="spellEnd"/>
      <w:r w:rsidRPr="00034E24">
        <w:rPr>
          <w:rFonts w:ascii="Open Sans" w:hAnsi="Open Sans"/>
        </w:rPr>
        <w:t xml:space="preserve"> wrongful conduct; and that,</w:t>
      </w:r>
    </w:p>
    <w:p w:rsidR="00034E24" w:rsidRPr="00034E24" w:rsidRDefault="00034E24" w:rsidP="004A6B78">
      <w:pPr>
        <w:pStyle w:val="ListParagraph"/>
        <w:numPr>
          <w:ilvl w:val="0"/>
          <w:numId w:val="34"/>
        </w:numPr>
        <w:ind w:left="547" w:hanging="547"/>
        <w:rPr>
          <w:rFonts w:ascii="Open Sans" w:hAnsi="Open Sans"/>
        </w:rPr>
      </w:pPr>
      <w:proofErr w:type="gramStart"/>
      <w:r w:rsidRPr="00034E24">
        <w:rPr>
          <w:rFonts w:ascii="Open Sans" w:hAnsi="Open Sans"/>
        </w:rPr>
        <w:t>there</w:t>
      </w:r>
      <w:proofErr w:type="gramEnd"/>
      <w:r w:rsidRPr="00034E24">
        <w:rPr>
          <w:rFonts w:ascii="Open Sans" w:hAnsi="Open Sans"/>
        </w:rPr>
        <w:t xml:space="preserve"> was a sufficient causal connection between the purchaser's loss and </w:t>
      </w:r>
      <w:proofErr w:type="spellStart"/>
      <w:r w:rsidRPr="00034E24">
        <w:rPr>
          <w:rFonts w:ascii="Open Sans" w:hAnsi="Open Sans"/>
        </w:rPr>
        <w:t>Crea’s</w:t>
      </w:r>
      <w:proofErr w:type="spellEnd"/>
      <w:r w:rsidRPr="00034E24">
        <w:rPr>
          <w:rFonts w:ascii="Open Sans" w:hAnsi="Open Sans"/>
        </w:rPr>
        <w:t xml:space="preserve"> wrongful conduct.</w:t>
      </w:r>
    </w:p>
    <w:p w:rsidR="00034E24" w:rsidRPr="00034E24" w:rsidRDefault="00034E24" w:rsidP="00034E24">
      <w:pPr>
        <w:pStyle w:val="BodyA"/>
        <w:ind w:left="0"/>
        <w:rPr>
          <w:rFonts w:ascii="Open Sans" w:hAnsi="Open Sans"/>
        </w:rPr>
      </w:pPr>
    </w:p>
    <w:p w:rsidR="00034E24" w:rsidRPr="00034E24" w:rsidRDefault="00034E24" w:rsidP="00034E24">
      <w:pPr>
        <w:pStyle w:val="BodyA"/>
        <w:ind w:left="0"/>
        <w:rPr>
          <w:rFonts w:ascii="Open Sans" w:hAnsi="Open Sans"/>
        </w:rPr>
      </w:pPr>
      <w:r w:rsidRPr="00034E24">
        <w:rPr>
          <w:rFonts w:ascii="Open Sans" w:hAnsi="Open Sans"/>
        </w:rPr>
        <w:t xml:space="preserve">Under the facts of this case, </w:t>
      </w:r>
      <w:proofErr w:type="spellStart"/>
      <w:r w:rsidRPr="00034E24">
        <w:rPr>
          <w:rFonts w:ascii="Open Sans" w:hAnsi="Open Sans"/>
        </w:rPr>
        <w:t>Crea</w:t>
      </w:r>
      <w:proofErr w:type="spellEnd"/>
      <w:r>
        <w:rPr>
          <w:rFonts w:ascii="Arial Unicode MS" w:hAnsi="Arial Unicode MS"/>
          <w:rtl/>
          <w:lang w:val="ar-SA"/>
        </w:rPr>
        <w:t>’</w:t>
      </w:r>
      <w:r w:rsidRPr="00034E24">
        <w:rPr>
          <w:rFonts w:ascii="Open Sans" w:hAnsi="Open Sans"/>
        </w:rPr>
        <w:t xml:space="preserve">s inadvertent failure to exercise due care, which resulted in </w:t>
      </w:r>
      <w:proofErr w:type="spellStart"/>
      <w:r w:rsidRPr="00034E24">
        <w:rPr>
          <w:rFonts w:ascii="Open Sans" w:hAnsi="Open Sans"/>
        </w:rPr>
        <w:t>Crea</w:t>
      </w:r>
      <w:proofErr w:type="spellEnd"/>
      <w:r w:rsidRPr="00034E24">
        <w:rPr>
          <w:rFonts w:ascii="Open Sans" w:hAnsi="Open Sans"/>
        </w:rPr>
        <w:t xml:space="preserve"> not detecting the president</w:t>
      </w:r>
      <w:r>
        <w:rPr>
          <w:rFonts w:ascii="Arial Unicode MS" w:hAnsi="Arial Unicode MS"/>
          <w:rtl/>
          <w:lang w:val="ar-SA"/>
        </w:rPr>
        <w:t>’</w:t>
      </w:r>
      <w:r w:rsidRPr="00034E24">
        <w:rPr>
          <w:rFonts w:ascii="Open Sans" w:hAnsi="Open Sans"/>
        </w:rPr>
        <w:t xml:space="preserve">s embezzlement, will not be sufficient to satisfy the </w:t>
      </w:r>
      <w:r w:rsidRPr="00034E24">
        <w:rPr>
          <w:rFonts w:ascii="Open Sans" w:hAnsi="Open Sans"/>
          <w:i/>
          <w:iCs/>
          <w:lang w:val="it-IT"/>
        </w:rPr>
        <w:t>scienter</w:t>
      </w:r>
      <w:r w:rsidRPr="00034E24">
        <w:rPr>
          <w:rFonts w:ascii="Open Sans" w:hAnsi="Open Sans"/>
        </w:rPr>
        <w:t xml:space="preserve"> element because such conduct amounts merely to negligence.</w:t>
      </w:r>
      <w:r w:rsidR="002F2CE0">
        <w:rPr>
          <w:rFonts w:ascii="Open Sans" w:hAnsi="Open Sans"/>
        </w:rPr>
        <w:t xml:space="preserve"> </w:t>
      </w:r>
      <w:r w:rsidRPr="00034E24">
        <w:rPr>
          <w:rFonts w:ascii="Open Sans" w:hAnsi="Open Sans"/>
        </w:rPr>
        <w:t xml:space="preserve">Therefore, </w:t>
      </w:r>
      <w:proofErr w:type="spellStart"/>
      <w:r w:rsidRPr="00034E24">
        <w:rPr>
          <w:rFonts w:ascii="Open Sans" w:hAnsi="Open Sans"/>
        </w:rPr>
        <w:t>Crea</w:t>
      </w:r>
      <w:proofErr w:type="spellEnd"/>
      <w:r w:rsidRPr="00034E24">
        <w:rPr>
          <w:rFonts w:ascii="Open Sans" w:hAnsi="Open Sans"/>
        </w:rPr>
        <w:t xml:space="preserve"> will not be liable for damages under Section 10(b) and Rule 10b-5 of The Securities Act of 1934.</w:t>
      </w:r>
    </w:p>
    <w:p w:rsidR="00034E24" w:rsidRPr="00034E24" w:rsidRDefault="00034E24" w:rsidP="00034E24">
      <w:pPr>
        <w:pStyle w:val="BodyA"/>
        <w:ind w:left="0"/>
        <w:rPr>
          <w:rFonts w:ascii="Open Sans" w:hAnsi="Open Sans"/>
        </w:rPr>
      </w:pPr>
    </w:p>
    <w:p w:rsidR="00034E24" w:rsidRPr="00034E24" w:rsidRDefault="00034E24" w:rsidP="00034E24">
      <w:pPr>
        <w:pStyle w:val="BodyA"/>
        <w:ind w:left="0"/>
        <w:rPr>
          <w:rFonts w:ascii="Open Sans" w:hAnsi="Open Sans"/>
        </w:rPr>
      </w:pPr>
      <w:proofErr w:type="spellStart"/>
      <w:r w:rsidRPr="00034E24">
        <w:rPr>
          <w:rFonts w:ascii="Open Sans" w:hAnsi="Open Sans"/>
        </w:rPr>
        <w:t>Crea</w:t>
      </w:r>
      <w:proofErr w:type="spellEnd"/>
      <w:r w:rsidRPr="00034E24">
        <w:rPr>
          <w:rFonts w:ascii="Open Sans" w:hAnsi="Open Sans"/>
        </w:rPr>
        <w:t xml:space="preserve"> is likely to be held liable to Safe Bank based on </w:t>
      </w:r>
      <w:proofErr w:type="spellStart"/>
      <w:r w:rsidRPr="00034E24">
        <w:rPr>
          <w:rFonts w:ascii="Open Sans" w:hAnsi="Open Sans"/>
        </w:rPr>
        <w:t>Crea</w:t>
      </w:r>
      <w:proofErr w:type="spellEnd"/>
      <w:r>
        <w:rPr>
          <w:rFonts w:ascii="Arial Unicode MS" w:hAnsi="Arial Unicode MS"/>
          <w:rtl/>
          <w:lang w:val="ar-SA"/>
        </w:rPr>
        <w:t>’</w:t>
      </w:r>
      <w:r w:rsidRPr="00034E24">
        <w:rPr>
          <w:rFonts w:ascii="Open Sans" w:hAnsi="Open Sans"/>
        </w:rPr>
        <w:t xml:space="preserve">s negligence despite the fact that Safe is not in </w:t>
      </w:r>
      <w:proofErr w:type="spellStart"/>
      <w:r w:rsidRPr="00034E24">
        <w:rPr>
          <w:rFonts w:ascii="Open Sans" w:hAnsi="Open Sans"/>
        </w:rPr>
        <w:t>privity</w:t>
      </w:r>
      <w:proofErr w:type="spellEnd"/>
      <w:r w:rsidRPr="00034E24">
        <w:rPr>
          <w:rFonts w:ascii="Open Sans" w:hAnsi="Open Sans"/>
        </w:rPr>
        <w:t xml:space="preserve"> of contract with </w:t>
      </w:r>
      <w:proofErr w:type="spellStart"/>
      <w:r w:rsidRPr="00034E24">
        <w:rPr>
          <w:rFonts w:ascii="Open Sans" w:hAnsi="Open Sans"/>
        </w:rPr>
        <w:t>Crea</w:t>
      </w:r>
      <w:proofErr w:type="spellEnd"/>
      <w:r w:rsidRPr="00034E24">
        <w:rPr>
          <w:rFonts w:ascii="Open Sans" w:hAnsi="Open Sans"/>
        </w:rPr>
        <w:t>.</w:t>
      </w:r>
      <w:r w:rsidR="002F2CE0">
        <w:rPr>
          <w:rFonts w:ascii="Open Sans" w:hAnsi="Open Sans"/>
        </w:rPr>
        <w:t xml:space="preserve"> </w:t>
      </w:r>
      <w:r w:rsidRPr="00034E24">
        <w:rPr>
          <w:rFonts w:ascii="Open Sans" w:hAnsi="Open Sans"/>
        </w:rPr>
        <w:t>In general, a CPA will not be liable for negligence to creditors if the</w:t>
      </w:r>
      <w:r w:rsidRPr="00034E24">
        <w:rPr>
          <w:rFonts w:ascii="Open Sans" w:hAnsi="Open Sans"/>
          <w:color w:val="FF0000"/>
          <w:u w:color="FF0000"/>
        </w:rPr>
        <w:t xml:space="preserve"> </w:t>
      </w:r>
      <w:r w:rsidRPr="00034E24">
        <w:rPr>
          <w:rFonts w:ascii="Open Sans" w:hAnsi="Open Sans"/>
          <w:lang w:val="pt-PT"/>
        </w:rPr>
        <w:t>auditor</w:t>
      </w:r>
      <w:r>
        <w:rPr>
          <w:rFonts w:ascii="Arial Unicode MS" w:hAnsi="Arial Unicode MS"/>
          <w:rtl/>
          <w:lang w:val="ar-SA"/>
        </w:rPr>
        <w:t>’</w:t>
      </w:r>
      <w:r w:rsidRPr="00034E24">
        <w:rPr>
          <w:rFonts w:ascii="Open Sans" w:hAnsi="Open Sans"/>
        </w:rPr>
        <w:t>s report was primarily for the benefit of the client or for use in the development of the client</w:t>
      </w:r>
      <w:r>
        <w:rPr>
          <w:rFonts w:ascii="Arial Unicode MS" w:hAnsi="Arial Unicode MS"/>
          <w:rtl/>
          <w:lang w:val="ar-SA"/>
        </w:rPr>
        <w:t>’</w:t>
      </w:r>
      <w:r w:rsidRPr="00034E24">
        <w:rPr>
          <w:rFonts w:ascii="Open Sans" w:hAnsi="Open Sans"/>
        </w:rPr>
        <w:t>s business, and only incidentally or collaterally for the use of those to whom the client might show the financial statements.</w:t>
      </w:r>
      <w:r w:rsidR="002F2CE0">
        <w:rPr>
          <w:rFonts w:ascii="Open Sans" w:hAnsi="Open Sans"/>
        </w:rPr>
        <w:t xml:space="preserve"> </w:t>
      </w:r>
      <w:r w:rsidRPr="00034E24">
        <w:rPr>
          <w:rFonts w:ascii="Open Sans" w:hAnsi="Open Sans"/>
        </w:rPr>
        <w:t>However, a CPA is generally liable for ordinary negligence to third parties if the audit report is for the identified third party</w:t>
      </w:r>
      <w:r>
        <w:rPr>
          <w:rFonts w:ascii="Arial Unicode MS" w:hAnsi="Arial Unicode MS"/>
          <w:rtl/>
          <w:lang w:val="ar-SA"/>
        </w:rPr>
        <w:t>’</w:t>
      </w:r>
      <w:r w:rsidRPr="00034E24">
        <w:rPr>
          <w:rFonts w:ascii="Open Sans" w:hAnsi="Open Sans"/>
        </w:rPr>
        <w:t>s primary benefit.</w:t>
      </w:r>
    </w:p>
    <w:p w:rsidR="00034E24" w:rsidRPr="00034E24" w:rsidRDefault="00034E24" w:rsidP="00034E24">
      <w:pPr>
        <w:pStyle w:val="BodyA"/>
        <w:ind w:left="0"/>
        <w:rPr>
          <w:rFonts w:ascii="Open Sans" w:hAnsi="Open Sans"/>
        </w:rPr>
      </w:pPr>
    </w:p>
    <w:p w:rsidR="002F2CE0" w:rsidRDefault="00034E24" w:rsidP="00034E24">
      <w:pPr>
        <w:pStyle w:val="BodyA"/>
        <w:ind w:left="0"/>
        <w:rPr>
          <w:rFonts w:ascii="Open Sans" w:hAnsi="Open Sans"/>
        </w:rPr>
      </w:pPr>
      <w:r w:rsidRPr="00034E24">
        <w:rPr>
          <w:rFonts w:ascii="Open Sans" w:hAnsi="Open Sans"/>
        </w:rPr>
        <w:lastRenderedPageBreak/>
        <w:t xml:space="preserve">In order to establish </w:t>
      </w:r>
      <w:proofErr w:type="spellStart"/>
      <w:r w:rsidRPr="00034E24">
        <w:rPr>
          <w:rFonts w:ascii="Open Sans" w:hAnsi="Open Sans"/>
        </w:rPr>
        <w:t>Crea</w:t>
      </w:r>
      <w:proofErr w:type="spellEnd"/>
      <w:r>
        <w:rPr>
          <w:rFonts w:ascii="Arial Unicode MS" w:hAnsi="Arial Unicode MS"/>
          <w:rtl/>
          <w:lang w:val="ar-SA"/>
        </w:rPr>
        <w:t>’</w:t>
      </w:r>
      <w:r w:rsidRPr="00034E24">
        <w:rPr>
          <w:rFonts w:ascii="Open Sans" w:hAnsi="Open Sans"/>
        </w:rPr>
        <w:t>s negligence, Safe must show that:</w:t>
      </w:r>
    </w:p>
    <w:p w:rsidR="002F2CE0" w:rsidRDefault="00034E24" w:rsidP="004A6B78">
      <w:pPr>
        <w:pStyle w:val="ListParagraph"/>
        <w:numPr>
          <w:ilvl w:val="0"/>
          <w:numId w:val="35"/>
        </w:numPr>
        <w:ind w:left="547" w:hanging="547"/>
        <w:rPr>
          <w:rFonts w:ascii="Open Sans" w:hAnsi="Open Sans"/>
        </w:rPr>
      </w:pPr>
      <w:proofErr w:type="spellStart"/>
      <w:r w:rsidRPr="00034E24">
        <w:rPr>
          <w:rFonts w:ascii="Open Sans" w:hAnsi="Open Sans"/>
        </w:rPr>
        <w:t>Crea</w:t>
      </w:r>
      <w:proofErr w:type="spellEnd"/>
      <w:r w:rsidRPr="00034E24">
        <w:rPr>
          <w:rFonts w:ascii="Open Sans" w:hAnsi="Open Sans"/>
        </w:rPr>
        <w:t xml:space="preserve"> had a legal duty to protect Safe from unreasonable risk;</w:t>
      </w:r>
    </w:p>
    <w:p w:rsidR="002F2CE0" w:rsidRDefault="00034E24" w:rsidP="004A6B78">
      <w:pPr>
        <w:pStyle w:val="ListParagraph"/>
        <w:numPr>
          <w:ilvl w:val="0"/>
          <w:numId w:val="35"/>
        </w:numPr>
        <w:ind w:left="547" w:hanging="547"/>
        <w:rPr>
          <w:rFonts w:ascii="Open Sans" w:hAnsi="Open Sans"/>
        </w:rPr>
      </w:pPr>
      <w:proofErr w:type="spellStart"/>
      <w:r w:rsidRPr="00034E24">
        <w:rPr>
          <w:rFonts w:ascii="Open Sans" w:hAnsi="Open Sans"/>
        </w:rPr>
        <w:t>Crea</w:t>
      </w:r>
      <w:proofErr w:type="spellEnd"/>
      <w:r w:rsidRPr="00034E24">
        <w:rPr>
          <w:rFonts w:ascii="Open Sans" w:hAnsi="Open Sans"/>
        </w:rPr>
        <w:t xml:space="preserve"> failed to perform the audit with the due care or competence expected of members of its profession;</w:t>
      </w:r>
    </w:p>
    <w:p w:rsidR="00034E24" w:rsidRPr="00034E24" w:rsidRDefault="00034E24" w:rsidP="004A6B78">
      <w:pPr>
        <w:pStyle w:val="ListParagraph"/>
        <w:numPr>
          <w:ilvl w:val="0"/>
          <w:numId w:val="35"/>
        </w:numPr>
        <w:ind w:left="547" w:hanging="547"/>
        <w:rPr>
          <w:rFonts w:ascii="Open Sans" w:hAnsi="Open Sans"/>
        </w:rPr>
      </w:pPr>
      <w:r w:rsidRPr="00034E24">
        <w:rPr>
          <w:rFonts w:ascii="Open Sans" w:hAnsi="Open Sans"/>
        </w:rPr>
        <w:t xml:space="preserve">there was a causal relationship between Safe’s loss and </w:t>
      </w:r>
      <w:proofErr w:type="spellStart"/>
      <w:r w:rsidRPr="00034E24">
        <w:rPr>
          <w:rFonts w:ascii="Open Sans" w:hAnsi="Open Sans"/>
        </w:rPr>
        <w:t>Crea’s</w:t>
      </w:r>
      <w:proofErr w:type="spellEnd"/>
      <w:r w:rsidRPr="00034E24">
        <w:rPr>
          <w:rFonts w:ascii="Open Sans" w:hAnsi="Open Sans"/>
        </w:rPr>
        <w:t xml:space="preserve"> failure to exercise due care;</w:t>
      </w:r>
    </w:p>
    <w:p w:rsidR="002F2CE0" w:rsidRDefault="00034E24" w:rsidP="004A6B78">
      <w:pPr>
        <w:pStyle w:val="ListParagraph"/>
        <w:numPr>
          <w:ilvl w:val="0"/>
          <w:numId w:val="35"/>
        </w:numPr>
        <w:ind w:left="547" w:hanging="547"/>
        <w:rPr>
          <w:rFonts w:ascii="Open Sans" w:hAnsi="Open Sans"/>
        </w:rPr>
      </w:pPr>
      <w:proofErr w:type="gramStart"/>
      <w:r w:rsidRPr="00034E24">
        <w:rPr>
          <w:rFonts w:ascii="Open Sans" w:hAnsi="Open Sans"/>
        </w:rPr>
        <w:t>actual</w:t>
      </w:r>
      <w:proofErr w:type="gramEnd"/>
      <w:r w:rsidRPr="00034E24">
        <w:rPr>
          <w:rFonts w:ascii="Open Sans" w:hAnsi="Open Sans"/>
        </w:rPr>
        <w:t xml:space="preserve"> damage or loss resulting from </w:t>
      </w:r>
      <w:proofErr w:type="spellStart"/>
      <w:r w:rsidRPr="00034E24">
        <w:rPr>
          <w:rFonts w:ascii="Open Sans" w:hAnsi="Open Sans"/>
        </w:rPr>
        <w:t>Crea’s</w:t>
      </w:r>
      <w:proofErr w:type="spellEnd"/>
      <w:r w:rsidRPr="00034E24">
        <w:rPr>
          <w:rFonts w:ascii="Open Sans" w:hAnsi="Open Sans"/>
        </w:rPr>
        <w:t xml:space="preserve"> failure to exercise due care.</w:t>
      </w:r>
    </w:p>
    <w:p w:rsidR="00034E24" w:rsidRPr="00034E24" w:rsidRDefault="00034E24" w:rsidP="00034E24">
      <w:pPr>
        <w:pStyle w:val="BodyA"/>
        <w:ind w:left="0"/>
        <w:rPr>
          <w:rFonts w:ascii="Open Sans" w:hAnsi="Open Sans"/>
        </w:rPr>
      </w:pPr>
      <w:r w:rsidRPr="00034E24">
        <w:rPr>
          <w:rFonts w:ascii="Open Sans" w:hAnsi="Open Sans"/>
        </w:rPr>
        <w:t xml:space="preserve">On the facts of this case, </w:t>
      </w:r>
      <w:proofErr w:type="spellStart"/>
      <w:r w:rsidRPr="00034E24">
        <w:rPr>
          <w:rFonts w:ascii="Open Sans" w:hAnsi="Open Sans"/>
        </w:rPr>
        <w:t>Crea</w:t>
      </w:r>
      <w:proofErr w:type="spellEnd"/>
      <w:r w:rsidRPr="00034E24">
        <w:rPr>
          <w:rFonts w:ascii="Open Sans" w:hAnsi="Open Sans"/>
        </w:rPr>
        <w:t xml:space="preserve"> will be liable based on negligence since the audited financial statement reports were for the primary benefit of Safe, an identified third party, and </w:t>
      </w:r>
      <w:proofErr w:type="spellStart"/>
      <w:r w:rsidRPr="00034E24">
        <w:rPr>
          <w:rFonts w:ascii="Open Sans" w:hAnsi="Open Sans"/>
        </w:rPr>
        <w:t>Crea</w:t>
      </w:r>
      <w:proofErr w:type="spellEnd"/>
      <w:r w:rsidRPr="00034E24">
        <w:rPr>
          <w:rFonts w:ascii="Open Sans" w:hAnsi="Open Sans"/>
        </w:rPr>
        <w:t xml:space="preserve"> failed to exercise due care in detecting the president</w:t>
      </w:r>
      <w:r>
        <w:rPr>
          <w:rFonts w:ascii="Arial Unicode MS" w:hAnsi="Arial Unicode MS"/>
          <w:rtl/>
          <w:lang w:val="ar-SA"/>
        </w:rPr>
        <w:t>’</w:t>
      </w:r>
      <w:r w:rsidRPr="00034E24">
        <w:rPr>
          <w:rFonts w:ascii="Open Sans" w:hAnsi="Open Sans"/>
        </w:rPr>
        <w:t>s embezzlement, which resulted in Safe</w:t>
      </w:r>
      <w:r>
        <w:rPr>
          <w:rFonts w:ascii="Arial Unicode MS" w:hAnsi="Arial Unicode MS"/>
          <w:rtl/>
          <w:lang w:val="ar-SA"/>
        </w:rPr>
        <w:t>’</w:t>
      </w:r>
      <w:r w:rsidRPr="00034E24">
        <w:rPr>
          <w:rFonts w:ascii="Open Sans" w:hAnsi="Open Sans"/>
        </w:rPr>
        <w:t>s loss (Dark</w:t>
      </w:r>
      <w:r>
        <w:rPr>
          <w:rFonts w:ascii="Arial Unicode MS" w:hAnsi="Arial Unicode MS"/>
          <w:rtl/>
          <w:lang w:val="ar-SA"/>
        </w:rPr>
        <w:t>’</w:t>
      </w:r>
      <w:r w:rsidRPr="00034E24">
        <w:rPr>
          <w:rFonts w:ascii="Open Sans" w:hAnsi="Open Sans"/>
        </w:rPr>
        <w:t>s default in repaying the loan to Safe).</w:t>
      </w:r>
    </w:p>
    <w:p w:rsidR="00034E24" w:rsidRPr="00034E24" w:rsidRDefault="00034E24" w:rsidP="00034E24">
      <w:pPr>
        <w:pStyle w:val="BodyA"/>
        <w:ind w:left="0"/>
        <w:rPr>
          <w:rFonts w:ascii="Open Sans" w:hAnsi="Open Sans"/>
          <w:sz w:val="14"/>
          <w:szCs w:val="14"/>
        </w:rPr>
      </w:pPr>
      <w:r w:rsidRPr="00034E24">
        <w:rPr>
          <w:rFonts w:ascii="Open Sans" w:hAnsi="Open Sans"/>
          <w:sz w:val="18"/>
          <w:szCs w:val="18"/>
        </w:rPr>
        <w:t>LO 8</w:t>
      </w:r>
      <w:proofErr w:type="gramStart"/>
      <w:r w:rsidRPr="00034E24">
        <w:rPr>
          <w:rFonts w:ascii="Open Sans" w:hAnsi="Open Sans"/>
          <w:sz w:val="18"/>
          <w:szCs w:val="18"/>
        </w:rPr>
        <w:t>,9</w:t>
      </w:r>
      <w:proofErr w:type="gramEnd"/>
      <w:r w:rsidRPr="00034E24">
        <w:rPr>
          <w:rFonts w:ascii="Open Sans" w:hAnsi="Open Sans"/>
          <w:sz w:val="18"/>
          <w:szCs w:val="18"/>
        </w:rPr>
        <w:t>.</w:t>
      </w:r>
      <w:r w:rsidR="002F2CE0">
        <w:rPr>
          <w:rFonts w:ascii="Open Sans" w:hAnsi="Open Sans"/>
          <w:sz w:val="18"/>
          <w:szCs w:val="18"/>
        </w:rPr>
        <w:t xml:space="preserve"> </w:t>
      </w:r>
      <w:r w:rsidRPr="00034E24">
        <w:rPr>
          <w:rFonts w:ascii="Open Sans" w:hAnsi="Open Sans"/>
          <w:sz w:val="18"/>
          <w:szCs w:val="18"/>
        </w:rPr>
        <w:t>BT: E, Difficulty: Challenging, TOT: 25 min., AACSB: None, AICPA: None</w:t>
      </w:r>
    </w:p>
    <w:p w:rsidR="00034E24" w:rsidRPr="00034E24" w:rsidRDefault="00034E24" w:rsidP="00034E24">
      <w:pPr>
        <w:pStyle w:val="BodyA"/>
        <w:ind w:left="0"/>
        <w:rPr>
          <w:rFonts w:ascii="Open Sans" w:hAnsi="Open Sans"/>
        </w:rPr>
      </w:pPr>
    </w:p>
    <w:p w:rsidR="002F2CE0" w:rsidRDefault="00034E24" w:rsidP="00034E24">
      <w:pPr>
        <w:pStyle w:val="BodyA"/>
        <w:ind w:left="0"/>
        <w:rPr>
          <w:rFonts w:ascii="Open Sans" w:hAnsi="Open Sans"/>
        </w:rPr>
      </w:pPr>
      <w:r w:rsidRPr="00034E24">
        <w:rPr>
          <w:rFonts w:ascii="Open Sans" w:hAnsi="Open Sans"/>
          <w:b/>
          <w:bCs/>
        </w:rPr>
        <w:t>AP2.12</w:t>
      </w:r>
      <w:r w:rsidRPr="00034E24">
        <w:rPr>
          <w:rFonts w:ascii="Open Sans" w:hAnsi="Open Sans"/>
        </w:rPr>
        <w:t xml:space="preserve"> Johnson and Wiley do not have an independence problem based on Independence Interpretation 1.220.040.</w:t>
      </w:r>
      <w:r w:rsidR="002F2CE0">
        <w:rPr>
          <w:rFonts w:ascii="Open Sans" w:hAnsi="Open Sans"/>
        </w:rPr>
        <w:t xml:space="preserve"> </w:t>
      </w:r>
      <w:r w:rsidRPr="00034E24">
        <w:rPr>
          <w:rFonts w:ascii="Open Sans" w:hAnsi="Open Sans"/>
        </w:rPr>
        <w:t>Johnson and Wiley CPAs did not perform prohibited attest services for the year ended December 31, 2025.</w:t>
      </w:r>
      <w:r w:rsidR="002F2CE0">
        <w:rPr>
          <w:rFonts w:ascii="Open Sans" w:hAnsi="Open Sans"/>
        </w:rPr>
        <w:t xml:space="preserve"> </w:t>
      </w:r>
      <w:r w:rsidRPr="00034E24">
        <w:rPr>
          <w:rFonts w:ascii="Open Sans" w:hAnsi="Open Sans"/>
        </w:rPr>
        <w:t xml:space="preserve">During the calendar year ended December 31, 2024, prohibited services were performed by Fritz and </w:t>
      </w:r>
      <w:proofErr w:type="spellStart"/>
      <w:r w:rsidRPr="00034E24">
        <w:rPr>
          <w:rFonts w:ascii="Open Sans" w:hAnsi="Open Sans"/>
        </w:rPr>
        <w:t>Rufner</w:t>
      </w:r>
      <w:proofErr w:type="spellEnd"/>
      <w:r w:rsidRPr="00034E24">
        <w:rPr>
          <w:rFonts w:ascii="Open Sans" w:hAnsi="Open Sans"/>
        </w:rPr>
        <w:t xml:space="preserve">, but Fritz and </w:t>
      </w:r>
      <w:proofErr w:type="spellStart"/>
      <w:r w:rsidRPr="00034E24">
        <w:rPr>
          <w:rFonts w:ascii="Open Sans" w:hAnsi="Open Sans"/>
        </w:rPr>
        <w:t>Rufner</w:t>
      </w:r>
      <w:proofErr w:type="spellEnd"/>
      <w:r w:rsidRPr="00034E24">
        <w:rPr>
          <w:rFonts w:ascii="Open Sans" w:hAnsi="Open Sans"/>
        </w:rPr>
        <w:t xml:space="preserve"> was not associated with Johnson and Wiley, CPAs.</w:t>
      </w:r>
      <w:r w:rsidR="002F2CE0">
        <w:rPr>
          <w:rFonts w:ascii="Open Sans" w:hAnsi="Open Sans"/>
        </w:rPr>
        <w:t xml:space="preserve"> </w:t>
      </w:r>
      <w:r w:rsidRPr="00034E24">
        <w:rPr>
          <w:rFonts w:ascii="Open Sans" w:hAnsi="Open Sans"/>
        </w:rPr>
        <w:t xml:space="preserve">Fritz and </w:t>
      </w:r>
      <w:proofErr w:type="spellStart"/>
      <w:r w:rsidRPr="00034E24">
        <w:rPr>
          <w:rFonts w:ascii="Open Sans" w:hAnsi="Open Sans"/>
        </w:rPr>
        <w:t>Rufner</w:t>
      </w:r>
      <w:proofErr w:type="spellEnd"/>
      <w:r w:rsidRPr="00034E24">
        <w:rPr>
          <w:rFonts w:ascii="Open Sans" w:hAnsi="Open Sans"/>
        </w:rPr>
        <w:t xml:space="preserve"> discontinued performing prohibited non-attest services as of December 1, 2024. Johnson and Wiley CPAs acquired Fritz and </w:t>
      </w:r>
      <w:proofErr w:type="spellStart"/>
      <w:r w:rsidRPr="00034E24">
        <w:rPr>
          <w:rFonts w:ascii="Open Sans" w:hAnsi="Open Sans"/>
        </w:rPr>
        <w:t>Rufner</w:t>
      </w:r>
      <w:proofErr w:type="spellEnd"/>
      <w:r w:rsidRPr="00034E24">
        <w:rPr>
          <w:rFonts w:ascii="Open Sans" w:hAnsi="Open Sans"/>
        </w:rPr>
        <w:t xml:space="preserve"> as of January 1, 2025. As a result, no prohibited services were performed by Johnson and Wiley, the members of the former firm Fritz and </w:t>
      </w:r>
      <w:proofErr w:type="spellStart"/>
      <w:r w:rsidRPr="00034E24">
        <w:rPr>
          <w:rFonts w:ascii="Open Sans" w:hAnsi="Open Sans"/>
        </w:rPr>
        <w:t>Rufner</w:t>
      </w:r>
      <w:proofErr w:type="spellEnd"/>
      <w:r w:rsidRPr="00034E24">
        <w:rPr>
          <w:rFonts w:ascii="Open Sans" w:hAnsi="Open Sans"/>
        </w:rPr>
        <w:t>, during the period covered by the 2025 financial statements.</w:t>
      </w:r>
    </w:p>
    <w:p w:rsidR="00034E24" w:rsidRPr="00034E24" w:rsidRDefault="00034E24" w:rsidP="00034E24">
      <w:pPr>
        <w:pStyle w:val="BodyA"/>
        <w:ind w:left="0"/>
        <w:rPr>
          <w:rFonts w:ascii="Open Sans" w:hAnsi="Open Sans"/>
          <w:sz w:val="14"/>
          <w:szCs w:val="14"/>
        </w:rPr>
      </w:pPr>
      <w:r w:rsidRPr="00034E24">
        <w:rPr>
          <w:rFonts w:ascii="Open Sans" w:hAnsi="Open Sans"/>
          <w:sz w:val="16"/>
          <w:szCs w:val="16"/>
        </w:rPr>
        <w:t>LO 2,3,4,5.</w:t>
      </w:r>
      <w:r w:rsidR="002F2CE0">
        <w:rPr>
          <w:rFonts w:ascii="Open Sans" w:hAnsi="Open Sans"/>
          <w:sz w:val="16"/>
          <w:szCs w:val="16"/>
        </w:rPr>
        <w:t xml:space="preserve"> </w:t>
      </w:r>
      <w:r w:rsidRPr="00034E24">
        <w:rPr>
          <w:rFonts w:ascii="Open Sans" w:hAnsi="Open Sans"/>
          <w:sz w:val="16"/>
          <w:szCs w:val="16"/>
        </w:rPr>
        <w:t>BT: E, Difficulty: Challenging, TOT: 25 min., AACSB: Ethics, AICPA: Ethics, Decision Making</w:t>
      </w:r>
    </w:p>
    <w:p w:rsidR="00E60DC2" w:rsidRDefault="00E60DC2">
      <w:pPr>
        <w:rPr>
          <w:rFonts w:ascii="Open Sans" w:hAnsi="Open Sans" w:cs="Arial Unicode MS"/>
          <w:b/>
          <w:bCs/>
          <w:color w:val="000000"/>
          <w:sz w:val="36"/>
          <w:szCs w:val="36"/>
          <w:u w:color="000000"/>
          <w:lang w:val="it-IT"/>
          <w14:textOutline w14:w="12700" w14:cap="flat" w14:cmpd="sng" w14:algn="ctr">
            <w14:noFill/>
            <w14:prstDash w14:val="solid"/>
            <w14:miter w14:lim="400000"/>
          </w14:textOutline>
        </w:rPr>
      </w:pPr>
      <w:r>
        <w:rPr>
          <w:rFonts w:ascii="Open Sans" w:hAnsi="Open Sans"/>
          <w:b/>
          <w:bCs/>
          <w:sz w:val="36"/>
          <w:szCs w:val="36"/>
          <w:lang w:val="it-IT"/>
        </w:rPr>
        <w:br w:type="page"/>
      </w:r>
    </w:p>
    <w:p w:rsidR="00034E24" w:rsidRPr="00034E24" w:rsidRDefault="00034E24" w:rsidP="00E60DC2">
      <w:pPr>
        <w:pStyle w:val="BodyA"/>
        <w:spacing w:after="360" w:line="240" w:lineRule="atLeast"/>
        <w:jc w:val="center"/>
        <w:rPr>
          <w:rFonts w:ascii="Open Sans" w:hAnsi="Open Sans"/>
          <w:b/>
          <w:bCs/>
          <w:sz w:val="36"/>
          <w:szCs w:val="36"/>
          <w:lang w:val="it-IT"/>
        </w:rPr>
      </w:pPr>
      <w:r w:rsidRPr="00034E24">
        <w:rPr>
          <w:rFonts w:ascii="Open Sans" w:hAnsi="Open Sans"/>
          <w:b/>
          <w:bCs/>
          <w:sz w:val="36"/>
          <w:szCs w:val="36"/>
          <w:lang w:val="it-IT"/>
        </w:rPr>
        <w:lastRenderedPageBreak/>
        <w:t>Audit Decision Case</w:t>
      </w:r>
    </w:p>
    <w:p w:rsidR="002F2CE0" w:rsidRDefault="00034E24" w:rsidP="00034E24">
      <w:pPr>
        <w:pStyle w:val="BodyA"/>
        <w:rPr>
          <w:rFonts w:ascii="Open Sans" w:hAnsi="Open Sans"/>
          <w:b/>
          <w:bCs/>
        </w:rPr>
      </w:pPr>
      <w:r w:rsidRPr="00034E24">
        <w:rPr>
          <w:rFonts w:ascii="Open Sans" w:hAnsi="Open Sans"/>
          <w:b/>
          <w:bCs/>
        </w:rPr>
        <w:t>C2-1</w:t>
      </w:r>
    </w:p>
    <w:p w:rsidR="00034E24" w:rsidRPr="00034E24" w:rsidRDefault="00E60DC2" w:rsidP="004A6B78">
      <w:pPr>
        <w:pStyle w:val="ListParagraph"/>
        <w:numPr>
          <w:ilvl w:val="0"/>
          <w:numId w:val="36"/>
        </w:numPr>
        <w:tabs>
          <w:tab w:val="clear" w:pos="540"/>
        </w:tabs>
        <w:rPr>
          <w:rFonts w:ascii="Open Sans" w:hAnsi="Open Sans"/>
        </w:rPr>
      </w:pPr>
      <w:r>
        <w:rPr>
          <w:rFonts w:ascii="Open Sans" w:hAnsi="Open Sans"/>
        </w:rPr>
        <w:tab/>
      </w:r>
      <w:r w:rsidR="00034E24" w:rsidRPr="00034E24">
        <w:rPr>
          <w:rFonts w:ascii="Open Sans" w:hAnsi="Open Sans"/>
        </w:rPr>
        <w:t>There are three ethical issues that need to be addressed:</w:t>
      </w:r>
    </w:p>
    <w:p w:rsidR="00034E24" w:rsidRPr="00034E24" w:rsidRDefault="00034E24" w:rsidP="004A6B78">
      <w:pPr>
        <w:pStyle w:val="ListParagraph"/>
        <w:numPr>
          <w:ilvl w:val="0"/>
          <w:numId w:val="37"/>
        </w:numPr>
        <w:ind w:left="1274"/>
        <w:rPr>
          <w:rFonts w:ascii="Open Sans" w:hAnsi="Open Sans"/>
        </w:rPr>
      </w:pPr>
      <w:r w:rsidRPr="00034E24">
        <w:rPr>
          <w:rFonts w:ascii="Open Sans" w:hAnsi="Open Sans"/>
        </w:rPr>
        <w:t xml:space="preserve">Does </w:t>
      </w:r>
      <w:proofErr w:type="spellStart"/>
      <w:r w:rsidRPr="00034E24">
        <w:rPr>
          <w:rFonts w:ascii="Open Sans" w:hAnsi="Open Sans"/>
        </w:rPr>
        <w:t>Thornson</w:t>
      </w:r>
      <w:proofErr w:type="spellEnd"/>
      <w:r w:rsidRPr="00034E24">
        <w:rPr>
          <w:rFonts w:ascii="Open Sans" w:hAnsi="Open Sans"/>
        </w:rPr>
        <w:t xml:space="preserve"> &amp; Danforth need to be independent to complete an annual tax return for King Companies, </w:t>
      </w:r>
      <w:proofErr w:type="spellStart"/>
      <w:r w:rsidRPr="00034E24">
        <w:rPr>
          <w:rFonts w:ascii="Open Sans" w:hAnsi="Open Sans"/>
        </w:rPr>
        <w:t>Inc</w:t>
      </w:r>
      <w:proofErr w:type="spellEnd"/>
      <w:r w:rsidRPr="00034E24">
        <w:rPr>
          <w:rFonts w:ascii="Open Sans" w:hAnsi="Open Sans"/>
        </w:rPr>
        <w:t>?</w:t>
      </w:r>
    </w:p>
    <w:p w:rsidR="00034E24" w:rsidRPr="00034E24" w:rsidRDefault="00034E24" w:rsidP="004A6B78">
      <w:pPr>
        <w:pStyle w:val="ListParagraph"/>
        <w:numPr>
          <w:ilvl w:val="0"/>
          <w:numId w:val="37"/>
        </w:numPr>
        <w:ind w:left="1274"/>
        <w:rPr>
          <w:rFonts w:ascii="Open Sans" w:hAnsi="Open Sans"/>
        </w:rPr>
      </w:pPr>
      <w:r w:rsidRPr="00034E24">
        <w:rPr>
          <w:rFonts w:ascii="Open Sans" w:hAnsi="Open Sans"/>
        </w:rPr>
        <w:t xml:space="preserve">If James sells his ownership in the King Companies, Inc. on November 30, 2024, is </w:t>
      </w:r>
      <w:proofErr w:type="spellStart"/>
      <w:r w:rsidRPr="00034E24">
        <w:rPr>
          <w:rFonts w:ascii="Open Sans" w:hAnsi="Open Sans"/>
        </w:rPr>
        <w:t>Thornson</w:t>
      </w:r>
      <w:proofErr w:type="spellEnd"/>
      <w:r w:rsidRPr="00034E24">
        <w:rPr>
          <w:rFonts w:ascii="Open Sans" w:hAnsi="Open Sans"/>
        </w:rPr>
        <w:t xml:space="preserve"> &amp; Danforth independent for the audit of King Companies, Inc. for the year ended December 31, 2025?</w:t>
      </w:r>
    </w:p>
    <w:p w:rsidR="00034E24" w:rsidRPr="00034E24" w:rsidRDefault="00034E24" w:rsidP="004A6B78">
      <w:pPr>
        <w:pStyle w:val="ListParagraph"/>
        <w:numPr>
          <w:ilvl w:val="0"/>
          <w:numId w:val="37"/>
        </w:numPr>
        <w:ind w:left="1274"/>
        <w:rPr>
          <w:rFonts w:ascii="Open Sans" w:hAnsi="Open Sans"/>
        </w:rPr>
      </w:pPr>
      <w:r w:rsidRPr="00034E24">
        <w:rPr>
          <w:rFonts w:ascii="Open Sans" w:hAnsi="Open Sans"/>
        </w:rPr>
        <w:t>Is there a familiarity threat and is the threat adequately safeguarded?</w:t>
      </w:r>
    </w:p>
    <w:p w:rsidR="002F2CE0" w:rsidRDefault="00E60DC2" w:rsidP="004A6B78">
      <w:pPr>
        <w:pStyle w:val="ListParagraph"/>
        <w:numPr>
          <w:ilvl w:val="0"/>
          <w:numId w:val="38"/>
        </w:numPr>
        <w:tabs>
          <w:tab w:val="clear" w:pos="540"/>
        </w:tabs>
        <w:rPr>
          <w:rFonts w:ascii="Open Sans" w:hAnsi="Open Sans"/>
        </w:rPr>
      </w:pPr>
      <w:r>
        <w:rPr>
          <w:rFonts w:ascii="Open Sans" w:hAnsi="Open Sans"/>
        </w:rPr>
        <w:tab/>
      </w:r>
      <w:r w:rsidR="00034E24" w:rsidRPr="00034E24">
        <w:rPr>
          <w:rFonts w:ascii="Open Sans" w:hAnsi="Open Sans"/>
        </w:rPr>
        <w:t>Gather appropriate information:</w:t>
      </w:r>
      <w:r w:rsidR="002F2CE0">
        <w:rPr>
          <w:rFonts w:ascii="Open Sans" w:hAnsi="Open Sans"/>
        </w:rPr>
        <w:t xml:space="preserve"> </w:t>
      </w:r>
      <w:r w:rsidR="00034E24" w:rsidRPr="00034E24">
        <w:rPr>
          <w:rFonts w:ascii="Open Sans" w:hAnsi="Open Sans"/>
        </w:rPr>
        <w:t>Following is a summary of relevant information related to this case.</w:t>
      </w:r>
      <w:r w:rsidR="002F2CE0">
        <w:rPr>
          <w:rFonts w:ascii="Open Sans" w:hAnsi="Open Sans"/>
        </w:rPr>
        <w:t xml:space="preserve"> </w:t>
      </w:r>
      <w:r w:rsidR="00034E24" w:rsidRPr="00034E24">
        <w:rPr>
          <w:rFonts w:ascii="Open Sans" w:hAnsi="Open Sans"/>
        </w:rPr>
        <w:t>The information is organized around the three issues identified above.</w:t>
      </w:r>
    </w:p>
    <w:p w:rsidR="00034E24" w:rsidRPr="00034E24" w:rsidRDefault="00034E24" w:rsidP="004A6B78">
      <w:pPr>
        <w:pStyle w:val="ListParagraph"/>
        <w:numPr>
          <w:ilvl w:val="0"/>
          <w:numId w:val="39"/>
        </w:numPr>
        <w:ind w:left="1274"/>
        <w:rPr>
          <w:rFonts w:ascii="Open Sans" w:hAnsi="Open Sans"/>
        </w:rPr>
      </w:pPr>
      <w:r w:rsidRPr="00034E24">
        <w:rPr>
          <w:rFonts w:ascii="Open Sans" w:hAnsi="Open Sans"/>
        </w:rPr>
        <w:t>Independence and tax returns:</w:t>
      </w:r>
    </w:p>
    <w:p w:rsidR="00034E24" w:rsidRPr="00034E24" w:rsidRDefault="00034E24" w:rsidP="004A6B78">
      <w:pPr>
        <w:pStyle w:val="ListParagraph"/>
        <w:numPr>
          <w:ilvl w:val="0"/>
          <w:numId w:val="40"/>
        </w:numPr>
        <w:ind w:left="1778"/>
        <w:rPr>
          <w:rFonts w:ascii="Open Sans" w:hAnsi="Open Sans"/>
        </w:rPr>
      </w:pPr>
      <w:r w:rsidRPr="00034E24">
        <w:rPr>
          <w:rFonts w:ascii="Open Sans" w:hAnsi="Open Sans"/>
        </w:rPr>
        <w:t>King Companies, Inc. is a private company and not subject to SEC rules.</w:t>
      </w:r>
    </w:p>
    <w:p w:rsidR="00034E24" w:rsidRPr="00034E24" w:rsidRDefault="00034E24" w:rsidP="004A6B78">
      <w:pPr>
        <w:pStyle w:val="ListParagraph"/>
        <w:numPr>
          <w:ilvl w:val="0"/>
          <w:numId w:val="40"/>
        </w:numPr>
        <w:ind w:left="1778"/>
        <w:rPr>
          <w:rFonts w:ascii="Open Sans" w:hAnsi="Open Sans"/>
        </w:rPr>
      </w:pPr>
      <w:r w:rsidRPr="00034E24">
        <w:rPr>
          <w:rFonts w:ascii="Open Sans" w:hAnsi="Open Sans"/>
        </w:rPr>
        <w:t>Independence is required for attest services (e.g., audits or reviews of financial statements, or other attest engagements).</w:t>
      </w:r>
    </w:p>
    <w:p w:rsidR="00034E24" w:rsidRPr="00034E24" w:rsidRDefault="00034E24" w:rsidP="004A6B78">
      <w:pPr>
        <w:pStyle w:val="ListParagraph"/>
        <w:numPr>
          <w:ilvl w:val="0"/>
          <w:numId w:val="40"/>
        </w:numPr>
        <w:ind w:left="1778"/>
        <w:rPr>
          <w:rFonts w:ascii="Open Sans" w:hAnsi="Open Sans"/>
        </w:rPr>
      </w:pPr>
      <w:r w:rsidRPr="00034E24">
        <w:rPr>
          <w:rFonts w:ascii="Open Sans" w:hAnsi="Open Sans"/>
        </w:rPr>
        <w:t>Preparing a tax return is a non-attest engagement and subject to rules regarding non-attest services (ET 1.295)</w:t>
      </w:r>
    </w:p>
    <w:p w:rsidR="002F2CE0" w:rsidRDefault="00034E24" w:rsidP="004A6B78">
      <w:pPr>
        <w:pStyle w:val="ListParagraph"/>
        <w:numPr>
          <w:ilvl w:val="0"/>
          <w:numId w:val="39"/>
        </w:numPr>
        <w:ind w:left="1274"/>
        <w:rPr>
          <w:rFonts w:ascii="Open Sans" w:hAnsi="Open Sans"/>
        </w:rPr>
      </w:pPr>
      <w:r w:rsidRPr="00034E24">
        <w:rPr>
          <w:rFonts w:ascii="Open Sans" w:hAnsi="Open Sans"/>
        </w:rPr>
        <w:t>Independence and having a direct investment in an attest client.</w:t>
      </w:r>
    </w:p>
    <w:p w:rsidR="00034E24" w:rsidRPr="00034E24" w:rsidRDefault="00034E24" w:rsidP="004A6B78">
      <w:pPr>
        <w:pStyle w:val="ListParagraph"/>
        <w:numPr>
          <w:ilvl w:val="0"/>
          <w:numId w:val="41"/>
        </w:numPr>
        <w:ind w:left="1778"/>
        <w:rPr>
          <w:rFonts w:ascii="Open Sans" w:hAnsi="Open Sans"/>
        </w:rPr>
      </w:pPr>
      <w:r w:rsidRPr="00034E24">
        <w:rPr>
          <w:rFonts w:ascii="Open Sans" w:hAnsi="Open Sans"/>
        </w:rPr>
        <w:t>Having a direct financial interest in an attest client is a self</w:t>
      </w:r>
      <w:r w:rsidRPr="00034E24">
        <w:rPr>
          <w:rFonts w:ascii="Open Sans" w:hAnsi="Open Sans"/>
          <w:color w:val="FF0000"/>
          <w:u w:color="FF0000"/>
        </w:rPr>
        <w:t>-</w:t>
      </w:r>
      <w:r w:rsidRPr="00034E24">
        <w:rPr>
          <w:rFonts w:ascii="Open Sans" w:hAnsi="Open Sans"/>
        </w:rPr>
        <w:t>interest threat that cannot be safeguarded. (ET 1.240.010.01)</w:t>
      </w:r>
    </w:p>
    <w:p w:rsidR="00034E24" w:rsidRPr="00034E24" w:rsidRDefault="00034E24" w:rsidP="004A6B78">
      <w:pPr>
        <w:pStyle w:val="ListParagraph"/>
        <w:numPr>
          <w:ilvl w:val="0"/>
          <w:numId w:val="41"/>
        </w:numPr>
        <w:ind w:left="1778"/>
        <w:rPr>
          <w:rFonts w:ascii="Open Sans" w:hAnsi="Open Sans"/>
        </w:rPr>
      </w:pPr>
      <w:r w:rsidRPr="00034E24">
        <w:rPr>
          <w:rFonts w:ascii="Open Sans" w:hAnsi="Open Sans"/>
        </w:rPr>
        <w:t>A CPA cannot have a direct financial interest in an attest client during the period of the professional engagement.</w:t>
      </w:r>
      <w:r w:rsidR="002F2CE0">
        <w:rPr>
          <w:rFonts w:ascii="Open Sans" w:hAnsi="Open Sans"/>
        </w:rPr>
        <w:t xml:space="preserve"> </w:t>
      </w:r>
      <w:r w:rsidRPr="00034E24">
        <w:rPr>
          <w:rFonts w:ascii="Open Sans" w:hAnsi="Open Sans"/>
        </w:rPr>
        <w:t>(ET 1.240.010.01)</w:t>
      </w:r>
    </w:p>
    <w:p w:rsidR="002F2CE0" w:rsidRDefault="00034E24" w:rsidP="004A6B78">
      <w:pPr>
        <w:pStyle w:val="ListParagraph"/>
        <w:numPr>
          <w:ilvl w:val="0"/>
          <w:numId w:val="41"/>
        </w:numPr>
        <w:ind w:left="1778"/>
        <w:rPr>
          <w:rFonts w:ascii="Open Sans" w:hAnsi="Open Sans"/>
        </w:rPr>
      </w:pPr>
      <w:r w:rsidRPr="00034E24">
        <w:rPr>
          <w:rFonts w:ascii="Open Sans" w:hAnsi="Open Sans"/>
        </w:rPr>
        <w:t>James cannot hold a direct investment during the period of the professional engagement.</w:t>
      </w:r>
      <w:r w:rsidR="002F2CE0">
        <w:rPr>
          <w:rFonts w:ascii="Open Sans" w:hAnsi="Open Sans"/>
        </w:rPr>
        <w:t xml:space="preserve"> </w:t>
      </w:r>
      <w:r w:rsidRPr="00034E24">
        <w:rPr>
          <w:rFonts w:ascii="Open Sans" w:hAnsi="Open Sans"/>
        </w:rPr>
        <w:t xml:space="preserve">The period of the professional engagement begins when </w:t>
      </w:r>
      <w:proofErr w:type="spellStart"/>
      <w:r w:rsidRPr="00034E24">
        <w:rPr>
          <w:rFonts w:ascii="Open Sans" w:hAnsi="Open Sans"/>
        </w:rPr>
        <w:t>Thornson</w:t>
      </w:r>
      <w:proofErr w:type="spellEnd"/>
      <w:r w:rsidRPr="00034E24">
        <w:rPr>
          <w:rFonts w:ascii="Open Sans" w:hAnsi="Open Sans"/>
        </w:rPr>
        <w:t xml:space="preserve"> &amp; Danforth sign an engagement letter or January 1, 2025, whichever comes first, and ends when the audit report is signed.</w:t>
      </w:r>
    </w:p>
    <w:p w:rsidR="00034E24" w:rsidRPr="00034E24" w:rsidRDefault="00034E24" w:rsidP="004A6B78">
      <w:pPr>
        <w:pStyle w:val="ListParagraph"/>
        <w:numPr>
          <w:ilvl w:val="0"/>
          <w:numId w:val="39"/>
        </w:numPr>
        <w:ind w:left="1274"/>
        <w:rPr>
          <w:rFonts w:ascii="Open Sans" w:hAnsi="Open Sans"/>
        </w:rPr>
      </w:pPr>
      <w:r w:rsidRPr="00034E24">
        <w:rPr>
          <w:rFonts w:ascii="Open Sans" w:hAnsi="Open Sans"/>
        </w:rPr>
        <w:t>Familiarity Threat</w:t>
      </w:r>
    </w:p>
    <w:p w:rsidR="00034E24" w:rsidRPr="00034E24" w:rsidRDefault="00034E24" w:rsidP="004A6B78">
      <w:pPr>
        <w:pStyle w:val="ListParagraph"/>
        <w:numPr>
          <w:ilvl w:val="0"/>
          <w:numId w:val="42"/>
        </w:numPr>
        <w:ind w:left="1778"/>
        <w:rPr>
          <w:rFonts w:ascii="Open Sans" w:hAnsi="Open Sans"/>
        </w:rPr>
      </w:pPr>
      <w:r w:rsidRPr="00034E24">
        <w:rPr>
          <w:rFonts w:ascii="Open Sans" w:hAnsi="Open Sans"/>
        </w:rPr>
        <w:t>Because James Danforth previously owned stock in King Companies, Inc., it might appear to an independent third party that a familiarity threat exists (ET 1.000.010.12).</w:t>
      </w:r>
    </w:p>
    <w:p w:rsidR="002F2CE0" w:rsidRDefault="00034E24" w:rsidP="004A6B78">
      <w:pPr>
        <w:pStyle w:val="ListParagraph"/>
        <w:numPr>
          <w:ilvl w:val="0"/>
          <w:numId w:val="42"/>
        </w:numPr>
        <w:ind w:left="1778"/>
        <w:rPr>
          <w:rFonts w:ascii="Open Sans" w:hAnsi="Open Sans"/>
        </w:rPr>
      </w:pPr>
      <w:r w:rsidRPr="00034E24">
        <w:rPr>
          <w:rFonts w:ascii="Open Sans" w:hAnsi="Open Sans"/>
        </w:rPr>
        <w:t>A familiarity threat can be safeguarded.</w:t>
      </w:r>
    </w:p>
    <w:p w:rsidR="00034E24" w:rsidRPr="00034E24" w:rsidRDefault="00E60DC2" w:rsidP="004A6B78">
      <w:pPr>
        <w:pStyle w:val="ListParagraph"/>
        <w:numPr>
          <w:ilvl w:val="0"/>
          <w:numId w:val="38"/>
        </w:numPr>
        <w:tabs>
          <w:tab w:val="clear" w:pos="540"/>
        </w:tabs>
        <w:rPr>
          <w:rFonts w:ascii="Open Sans" w:hAnsi="Open Sans"/>
        </w:rPr>
      </w:pPr>
      <w:r>
        <w:rPr>
          <w:rFonts w:ascii="Open Sans" w:hAnsi="Open Sans"/>
        </w:rPr>
        <w:tab/>
      </w:r>
      <w:r w:rsidR="00034E24" w:rsidRPr="00034E24">
        <w:rPr>
          <w:rFonts w:ascii="Open Sans" w:hAnsi="Open Sans"/>
        </w:rPr>
        <w:t>Analyze information and evaluate alternatives.</w:t>
      </w:r>
    </w:p>
    <w:p w:rsidR="002F2CE0" w:rsidRDefault="00034E24" w:rsidP="004A6B78">
      <w:pPr>
        <w:pStyle w:val="ListParagraph"/>
        <w:numPr>
          <w:ilvl w:val="0"/>
          <w:numId w:val="43"/>
        </w:numPr>
        <w:ind w:left="1274"/>
        <w:rPr>
          <w:rFonts w:ascii="Open Sans" w:hAnsi="Open Sans"/>
        </w:rPr>
      </w:pPr>
      <w:r w:rsidRPr="00034E24">
        <w:rPr>
          <w:rFonts w:ascii="Open Sans" w:hAnsi="Open Sans"/>
        </w:rPr>
        <w:t>Independence and tax returns.</w:t>
      </w:r>
    </w:p>
    <w:p w:rsidR="00034E24" w:rsidRPr="00034E24" w:rsidRDefault="00034E24" w:rsidP="004A6B78">
      <w:pPr>
        <w:pStyle w:val="ListParagraph"/>
        <w:numPr>
          <w:ilvl w:val="1"/>
          <w:numId w:val="44"/>
        </w:numPr>
        <w:ind w:left="1778"/>
        <w:rPr>
          <w:rFonts w:ascii="Open Sans" w:hAnsi="Open Sans"/>
        </w:rPr>
      </w:pPr>
      <w:r w:rsidRPr="00034E24">
        <w:rPr>
          <w:rFonts w:ascii="Open Sans" w:hAnsi="Open Sans"/>
        </w:rPr>
        <w:t>The case is not clear about whether James Danforth performs any management responsibilities at King Companies, Inc.</w:t>
      </w:r>
    </w:p>
    <w:p w:rsidR="00034E24" w:rsidRPr="00034E24" w:rsidRDefault="00034E24" w:rsidP="004A6B78">
      <w:pPr>
        <w:pStyle w:val="ListParagraph"/>
        <w:numPr>
          <w:ilvl w:val="1"/>
          <w:numId w:val="44"/>
        </w:numPr>
        <w:ind w:left="1778"/>
        <w:rPr>
          <w:rFonts w:ascii="Open Sans" w:hAnsi="Open Sans"/>
        </w:rPr>
      </w:pPr>
      <w:r w:rsidRPr="00034E24">
        <w:rPr>
          <w:rFonts w:ascii="Open Sans" w:hAnsi="Open Sans"/>
        </w:rPr>
        <w:t>Danforth must address the activities that impair independence summarized in Illustration 2.8.</w:t>
      </w:r>
    </w:p>
    <w:p w:rsidR="002F2CE0" w:rsidRDefault="00034E24" w:rsidP="004A6B78">
      <w:pPr>
        <w:pStyle w:val="ListParagraph"/>
        <w:numPr>
          <w:ilvl w:val="0"/>
          <w:numId w:val="45"/>
        </w:numPr>
        <w:ind w:left="1274"/>
        <w:rPr>
          <w:rFonts w:ascii="Open Sans" w:hAnsi="Open Sans"/>
        </w:rPr>
      </w:pPr>
      <w:r w:rsidRPr="00034E24">
        <w:rPr>
          <w:rFonts w:ascii="Open Sans" w:hAnsi="Open Sans"/>
        </w:rPr>
        <w:t>Independence and having a direct investment in an attest client.</w:t>
      </w:r>
    </w:p>
    <w:p w:rsidR="002F2CE0" w:rsidRDefault="00034E24" w:rsidP="004A6B78">
      <w:pPr>
        <w:pStyle w:val="ListParagraph"/>
        <w:numPr>
          <w:ilvl w:val="1"/>
          <w:numId w:val="46"/>
        </w:numPr>
        <w:ind w:left="1778"/>
        <w:rPr>
          <w:rFonts w:ascii="Open Sans" w:hAnsi="Open Sans"/>
        </w:rPr>
      </w:pPr>
      <w:r w:rsidRPr="00034E24">
        <w:rPr>
          <w:rFonts w:ascii="Open Sans" w:hAnsi="Open Sans"/>
        </w:rPr>
        <w:t>It is important that James not sign an engagement letter prior to selling his ownership interest.</w:t>
      </w:r>
    </w:p>
    <w:p w:rsidR="002F2CE0" w:rsidRDefault="00034E24" w:rsidP="004A6B78">
      <w:pPr>
        <w:pStyle w:val="ListParagraph"/>
        <w:numPr>
          <w:ilvl w:val="1"/>
          <w:numId w:val="46"/>
        </w:numPr>
        <w:ind w:left="1778"/>
        <w:rPr>
          <w:rFonts w:ascii="Open Sans" w:hAnsi="Open Sans"/>
        </w:rPr>
      </w:pPr>
      <w:r w:rsidRPr="00034E24">
        <w:rPr>
          <w:rFonts w:ascii="Open Sans" w:hAnsi="Open Sans"/>
        </w:rPr>
        <w:lastRenderedPageBreak/>
        <w:t>James sold his ownership interest in November of 2024, prior to the beginning of the period under audit (January 1, 2025).</w:t>
      </w:r>
    </w:p>
    <w:p w:rsidR="00034E24" w:rsidRPr="00034E24" w:rsidRDefault="00034E24" w:rsidP="004A6B78">
      <w:pPr>
        <w:pStyle w:val="ListParagraph"/>
        <w:numPr>
          <w:ilvl w:val="0"/>
          <w:numId w:val="47"/>
        </w:numPr>
        <w:ind w:left="1274"/>
        <w:rPr>
          <w:rFonts w:ascii="Open Sans" w:hAnsi="Open Sans"/>
        </w:rPr>
      </w:pPr>
      <w:r w:rsidRPr="00034E24">
        <w:rPr>
          <w:rFonts w:ascii="Open Sans" w:hAnsi="Open Sans"/>
        </w:rPr>
        <w:t>Familiarity Threat.</w:t>
      </w:r>
    </w:p>
    <w:p w:rsidR="00034E24" w:rsidRPr="00034E24" w:rsidRDefault="00034E24" w:rsidP="004A6B78">
      <w:pPr>
        <w:pStyle w:val="ListParagraph"/>
        <w:numPr>
          <w:ilvl w:val="1"/>
          <w:numId w:val="48"/>
        </w:numPr>
        <w:ind w:left="1778"/>
        <w:rPr>
          <w:rFonts w:ascii="Open Sans" w:hAnsi="Open Sans"/>
        </w:rPr>
      </w:pPr>
      <w:r w:rsidRPr="00034E24">
        <w:rPr>
          <w:rFonts w:ascii="Open Sans" w:hAnsi="Open Sans"/>
        </w:rPr>
        <w:t>A familiarity threat might exist.</w:t>
      </w:r>
    </w:p>
    <w:p w:rsidR="00034E24" w:rsidRPr="00034E24" w:rsidRDefault="00034E24" w:rsidP="004A6B78">
      <w:pPr>
        <w:pStyle w:val="ListParagraph"/>
        <w:numPr>
          <w:ilvl w:val="1"/>
          <w:numId w:val="48"/>
        </w:numPr>
        <w:ind w:left="1778"/>
        <w:rPr>
          <w:rFonts w:ascii="Open Sans" w:hAnsi="Open Sans"/>
        </w:rPr>
      </w:pPr>
      <w:r w:rsidRPr="00034E24">
        <w:rPr>
          <w:rFonts w:ascii="Open Sans" w:hAnsi="Open Sans"/>
        </w:rPr>
        <w:t>An adequate safeguard to preserve the audit firm’s independence would be having Danforth’s partner (</w:t>
      </w:r>
      <w:proofErr w:type="spellStart"/>
      <w:r w:rsidRPr="00034E24">
        <w:rPr>
          <w:rFonts w:ascii="Open Sans" w:hAnsi="Open Sans"/>
        </w:rPr>
        <w:t>Thornson</w:t>
      </w:r>
      <w:proofErr w:type="spellEnd"/>
      <w:r w:rsidRPr="00034E24">
        <w:rPr>
          <w:rFonts w:ascii="Open Sans" w:hAnsi="Open Sans"/>
        </w:rPr>
        <w:t xml:space="preserve"> or another partner) review and concur with material audit decisions prior to issuing the audit report.</w:t>
      </w:r>
    </w:p>
    <w:p w:rsidR="00034E24" w:rsidRPr="00034E24" w:rsidRDefault="00E60DC2" w:rsidP="004A6B78">
      <w:pPr>
        <w:pStyle w:val="ListParagraph"/>
        <w:numPr>
          <w:ilvl w:val="0"/>
          <w:numId w:val="38"/>
        </w:numPr>
        <w:tabs>
          <w:tab w:val="clear" w:pos="540"/>
        </w:tabs>
        <w:rPr>
          <w:rFonts w:ascii="Open Sans" w:hAnsi="Open Sans"/>
        </w:rPr>
      </w:pPr>
      <w:r>
        <w:rPr>
          <w:rFonts w:ascii="Open Sans" w:hAnsi="Open Sans"/>
        </w:rPr>
        <w:tab/>
      </w:r>
      <w:r w:rsidR="00034E24" w:rsidRPr="00034E24">
        <w:rPr>
          <w:rFonts w:ascii="Open Sans" w:hAnsi="Open Sans"/>
        </w:rPr>
        <w:t>Draw a conclusion</w:t>
      </w:r>
    </w:p>
    <w:p w:rsidR="002F2CE0" w:rsidRDefault="00034E24" w:rsidP="004A6B78">
      <w:pPr>
        <w:pStyle w:val="ListParagraph"/>
        <w:numPr>
          <w:ilvl w:val="0"/>
          <w:numId w:val="49"/>
        </w:numPr>
        <w:ind w:left="1274"/>
        <w:rPr>
          <w:rFonts w:ascii="Open Sans" w:hAnsi="Open Sans"/>
        </w:rPr>
      </w:pPr>
      <w:r w:rsidRPr="00034E24">
        <w:rPr>
          <w:rFonts w:ascii="Open Sans" w:hAnsi="Open Sans"/>
        </w:rPr>
        <w:t>Independence and tax returns.</w:t>
      </w:r>
    </w:p>
    <w:p w:rsidR="002F2CE0" w:rsidRDefault="00034E24" w:rsidP="004A6B78">
      <w:pPr>
        <w:pStyle w:val="ListParagraph"/>
        <w:numPr>
          <w:ilvl w:val="1"/>
          <w:numId w:val="49"/>
        </w:numPr>
        <w:rPr>
          <w:rFonts w:ascii="Open Sans" w:hAnsi="Open Sans"/>
        </w:rPr>
      </w:pPr>
      <w:r w:rsidRPr="00034E24">
        <w:rPr>
          <w:rFonts w:ascii="Open Sans" w:hAnsi="Open Sans"/>
        </w:rPr>
        <w:t>As long as Danforth does not perform any management activities, Danforth can prepare the tax return for King Companies, Inc. and remain independent.</w:t>
      </w:r>
      <w:r w:rsidR="002F2CE0">
        <w:rPr>
          <w:rFonts w:ascii="Open Sans" w:hAnsi="Open Sans"/>
        </w:rPr>
        <w:t xml:space="preserve"> </w:t>
      </w:r>
      <w:r w:rsidRPr="00034E24">
        <w:rPr>
          <w:rFonts w:ascii="Open Sans" w:hAnsi="Open Sans"/>
        </w:rPr>
        <w:t xml:space="preserve">A tax service is a </w:t>
      </w:r>
      <w:proofErr w:type="spellStart"/>
      <w:r w:rsidRPr="00034E24">
        <w:rPr>
          <w:rFonts w:ascii="Open Sans" w:hAnsi="Open Sans"/>
        </w:rPr>
        <w:t>nonattest</w:t>
      </w:r>
      <w:proofErr w:type="spellEnd"/>
      <w:r w:rsidRPr="00034E24">
        <w:rPr>
          <w:rFonts w:ascii="Open Sans" w:hAnsi="Open Sans"/>
        </w:rPr>
        <w:t xml:space="preserve"> service.</w:t>
      </w:r>
      <w:r w:rsidR="002F2CE0">
        <w:rPr>
          <w:rFonts w:ascii="Open Sans" w:hAnsi="Open Sans"/>
        </w:rPr>
        <w:t xml:space="preserve"> </w:t>
      </w:r>
      <w:r w:rsidRPr="00034E24">
        <w:rPr>
          <w:rFonts w:ascii="Open Sans" w:hAnsi="Open Sans"/>
        </w:rPr>
        <w:t xml:space="preserve">As long as the CPA complies with section (ET 1.295) of the AICPA </w:t>
      </w:r>
      <w:r w:rsidRPr="00034E24">
        <w:rPr>
          <w:rFonts w:ascii="Open Sans" w:hAnsi="Open Sans"/>
          <w:i/>
          <w:iCs/>
        </w:rPr>
        <w:t>Code of Professional Conduct</w:t>
      </w:r>
    </w:p>
    <w:p w:rsidR="00034E24" w:rsidRPr="00034E24" w:rsidRDefault="00034E24" w:rsidP="004A6B78">
      <w:pPr>
        <w:pStyle w:val="ListParagraph"/>
        <w:numPr>
          <w:ilvl w:val="0"/>
          <w:numId w:val="49"/>
        </w:numPr>
        <w:ind w:left="1274"/>
        <w:rPr>
          <w:rFonts w:ascii="Open Sans" w:hAnsi="Open Sans"/>
        </w:rPr>
      </w:pPr>
      <w:r w:rsidRPr="00034E24">
        <w:rPr>
          <w:rFonts w:ascii="Open Sans" w:hAnsi="Open Sans"/>
        </w:rPr>
        <w:t>Independence and having a direct investment in an attest client.</w:t>
      </w:r>
    </w:p>
    <w:p w:rsidR="00034E24" w:rsidRPr="00034E24" w:rsidRDefault="00034E24" w:rsidP="004A6B78">
      <w:pPr>
        <w:pStyle w:val="ListParagraph"/>
        <w:numPr>
          <w:ilvl w:val="1"/>
          <w:numId w:val="49"/>
        </w:numPr>
        <w:rPr>
          <w:rFonts w:ascii="Open Sans" w:hAnsi="Open Sans"/>
        </w:rPr>
      </w:pPr>
      <w:r w:rsidRPr="00034E24">
        <w:rPr>
          <w:rFonts w:ascii="Open Sans" w:hAnsi="Open Sans"/>
        </w:rPr>
        <w:t>As long as the engagement letter is signed in December 2024 or later, Danforth does not have a direct investment in King Companies, Inc. during the period of the professional engagement.</w:t>
      </w:r>
      <w:r w:rsidR="002F2CE0">
        <w:rPr>
          <w:rFonts w:ascii="Open Sans" w:hAnsi="Open Sans"/>
        </w:rPr>
        <w:t xml:space="preserve"> </w:t>
      </w:r>
      <w:r w:rsidRPr="00034E24">
        <w:rPr>
          <w:rFonts w:ascii="Open Sans" w:hAnsi="Open Sans"/>
        </w:rPr>
        <w:t>Hence, the firm will be independent with respect to the audit of the financial statements for the period ended December 31, 2025.</w:t>
      </w:r>
      <w:r w:rsidR="002F2CE0">
        <w:rPr>
          <w:rFonts w:ascii="Open Sans" w:hAnsi="Open Sans"/>
        </w:rPr>
        <w:t xml:space="preserve"> </w:t>
      </w:r>
      <w:r w:rsidRPr="00034E24">
        <w:rPr>
          <w:rFonts w:ascii="Open Sans" w:hAnsi="Open Sans"/>
        </w:rPr>
        <w:t>The key issue is a CPA cannot have a direct financial interest in an attest client during the period of the professional engagement.</w:t>
      </w:r>
      <w:r w:rsidR="002F2CE0">
        <w:rPr>
          <w:rFonts w:ascii="Open Sans" w:hAnsi="Open Sans"/>
        </w:rPr>
        <w:t xml:space="preserve"> </w:t>
      </w:r>
      <w:r w:rsidRPr="00034E24">
        <w:rPr>
          <w:rFonts w:ascii="Open Sans" w:hAnsi="Open Sans"/>
        </w:rPr>
        <w:t>(ET 1.240.010.01)</w:t>
      </w:r>
    </w:p>
    <w:p w:rsidR="00034E24" w:rsidRPr="00034E24" w:rsidRDefault="00034E24" w:rsidP="004A6B78">
      <w:pPr>
        <w:pStyle w:val="ListParagraph"/>
        <w:numPr>
          <w:ilvl w:val="0"/>
          <w:numId w:val="49"/>
        </w:numPr>
        <w:ind w:left="1274"/>
        <w:rPr>
          <w:rFonts w:ascii="Open Sans" w:hAnsi="Open Sans"/>
        </w:rPr>
      </w:pPr>
      <w:r w:rsidRPr="00034E24">
        <w:rPr>
          <w:rFonts w:ascii="Open Sans" w:hAnsi="Open Sans"/>
        </w:rPr>
        <w:t>Familiarity Threat</w:t>
      </w:r>
    </w:p>
    <w:p w:rsidR="00034E24" w:rsidRPr="00034E24" w:rsidRDefault="00034E24" w:rsidP="004A6B78">
      <w:pPr>
        <w:pStyle w:val="ListParagraph"/>
        <w:numPr>
          <w:ilvl w:val="1"/>
          <w:numId w:val="49"/>
        </w:numPr>
        <w:rPr>
          <w:rFonts w:ascii="Open Sans" w:hAnsi="Open Sans"/>
        </w:rPr>
      </w:pPr>
      <w:r w:rsidRPr="00034E24">
        <w:rPr>
          <w:rFonts w:ascii="Open Sans" w:hAnsi="Open Sans"/>
        </w:rPr>
        <w:t>The familiarity threat can be safeguarded, and the audit firm’s independence preserved, by having a concurring partner review and concur with material audit decisions prior to issuing the audit report, will safeguard the familiarity threat.</w:t>
      </w:r>
      <w:r w:rsidR="002F2CE0">
        <w:rPr>
          <w:rFonts w:ascii="Open Sans" w:hAnsi="Open Sans"/>
        </w:rPr>
        <w:t xml:space="preserve"> </w:t>
      </w:r>
      <w:r w:rsidRPr="00034E24">
        <w:rPr>
          <w:rFonts w:ascii="Open Sans" w:hAnsi="Open Sans"/>
        </w:rPr>
        <w:t>This situation is covered by the Conceptual Framework for Independence (ET 1.210.010)</w:t>
      </w:r>
    </w:p>
    <w:p w:rsidR="00034E24" w:rsidRPr="00034E24" w:rsidRDefault="00034E24" w:rsidP="00034E24">
      <w:pPr>
        <w:pStyle w:val="BodyA"/>
        <w:ind w:left="0"/>
        <w:rPr>
          <w:rFonts w:ascii="Open Sans" w:hAnsi="Open Sans"/>
          <w:sz w:val="18"/>
          <w:szCs w:val="18"/>
        </w:rPr>
      </w:pPr>
      <w:r w:rsidRPr="00034E24">
        <w:rPr>
          <w:rFonts w:ascii="Open Sans" w:hAnsi="Open Sans"/>
          <w:sz w:val="18"/>
          <w:szCs w:val="18"/>
        </w:rPr>
        <w:t>LO 2,3,4,5.</w:t>
      </w:r>
      <w:r w:rsidR="002F2CE0">
        <w:rPr>
          <w:rFonts w:ascii="Open Sans" w:hAnsi="Open Sans"/>
          <w:sz w:val="18"/>
          <w:szCs w:val="18"/>
        </w:rPr>
        <w:t xml:space="preserve"> </w:t>
      </w:r>
      <w:r w:rsidRPr="00034E24">
        <w:rPr>
          <w:rFonts w:ascii="Open Sans" w:hAnsi="Open Sans"/>
          <w:sz w:val="18"/>
          <w:szCs w:val="18"/>
        </w:rPr>
        <w:t>BT: E, Difficulty: Challenging, TOT: 40 min., AACSB: Ethics, AICPA: Ethics, Decision Making</w:t>
      </w:r>
    </w:p>
    <w:p w:rsidR="00034E24" w:rsidRPr="00034E24" w:rsidRDefault="00034E24" w:rsidP="00034E24">
      <w:pPr>
        <w:pStyle w:val="BodyA"/>
        <w:rPr>
          <w:rFonts w:ascii="Open Sans" w:hAnsi="Open Sans"/>
        </w:rPr>
      </w:pPr>
    </w:p>
    <w:p w:rsidR="00034E24" w:rsidRPr="00034E24" w:rsidRDefault="00034E24" w:rsidP="00034E24">
      <w:pPr>
        <w:pStyle w:val="BodyA"/>
        <w:spacing w:line="240" w:lineRule="atLeast"/>
        <w:jc w:val="center"/>
        <w:rPr>
          <w:rFonts w:ascii="Open Sans" w:hAnsi="Open Sans"/>
        </w:rPr>
      </w:pPr>
      <w:r>
        <w:rPr>
          <w:rFonts w:ascii="Arial Unicode MS" w:hAnsi="Arial Unicode MS"/>
        </w:rPr>
        <w:br w:type="page"/>
      </w:r>
    </w:p>
    <w:p w:rsidR="00034E24" w:rsidRPr="00034E24" w:rsidRDefault="00034E24" w:rsidP="00E60DC2">
      <w:pPr>
        <w:pStyle w:val="2Head"/>
        <w:spacing w:after="360"/>
        <w:rPr>
          <w:rFonts w:ascii="Open Sans" w:hAnsi="Open Sans"/>
        </w:rPr>
      </w:pPr>
      <w:r w:rsidRPr="00034E24">
        <w:rPr>
          <w:rFonts w:ascii="Open Sans" w:hAnsi="Open Sans"/>
        </w:rPr>
        <w:lastRenderedPageBreak/>
        <w:t>Cloud 9</w:t>
      </w:r>
    </w:p>
    <w:p w:rsidR="00034E24" w:rsidRPr="00034E24" w:rsidRDefault="00034E24" w:rsidP="00034E24">
      <w:pPr>
        <w:pStyle w:val="BodyA"/>
        <w:ind w:left="0"/>
        <w:rPr>
          <w:rFonts w:ascii="Open Sans" w:hAnsi="Open Sans"/>
        </w:rPr>
      </w:pPr>
      <w:r w:rsidRPr="00034E24">
        <w:rPr>
          <w:rFonts w:ascii="Open Sans" w:hAnsi="Open Sans"/>
        </w:rPr>
        <w:t>Following is an evaluation of each of the items that might have a potential impact on independence for Cloud 9.</w:t>
      </w:r>
    </w:p>
    <w:p w:rsidR="00034E24" w:rsidRPr="00034E24" w:rsidRDefault="00034E24" w:rsidP="00034E24">
      <w:pPr>
        <w:pStyle w:val="BodyA"/>
        <w:ind w:left="0"/>
        <w:rPr>
          <w:rFonts w:ascii="Open Sans" w:hAnsi="Open Sans"/>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4150"/>
        <w:gridCol w:w="5200"/>
      </w:tblGrid>
      <w:tr w:rsidR="00034E24" w:rsidTr="00E60DC2">
        <w:trPr>
          <w:trHeight w:val="307"/>
        </w:trPr>
        <w:tc>
          <w:tcPr>
            <w:tcW w:w="2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4E24" w:rsidRPr="00034E24" w:rsidRDefault="00034E24" w:rsidP="00614CB0">
            <w:pPr>
              <w:pStyle w:val="BodyA"/>
              <w:ind w:left="0"/>
              <w:jc w:val="center"/>
              <w:rPr>
                <w:rFonts w:ascii="Open Sans" w:hAnsi="Open Sans"/>
              </w:rPr>
            </w:pPr>
            <w:r w:rsidRPr="00034E24">
              <w:rPr>
                <w:rFonts w:ascii="Open Sans" w:hAnsi="Open Sans"/>
              </w:rPr>
              <w:t>Issue</w:t>
            </w:r>
          </w:p>
        </w:tc>
        <w:tc>
          <w:tcPr>
            <w:tcW w:w="27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4E24" w:rsidRPr="00034E24" w:rsidRDefault="00034E24" w:rsidP="00614CB0">
            <w:pPr>
              <w:pStyle w:val="BodyA"/>
              <w:ind w:left="0"/>
              <w:jc w:val="center"/>
              <w:rPr>
                <w:rFonts w:ascii="Open Sans" w:hAnsi="Open Sans"/>
              </w:rPr>
            </w:pPr>
            <w:r w:rsidRPr="00034E24">
              <w:rPr>
                <w:rFonts w:ascii="Open Sans" w:hAnsi="Open Sans"/>
              </w:rPr>
              <w:t>Evaluation</w:t>
            </w:r>
          </w:p>
        </w:tc>
      </w:tr>
      <w:tr w:rsidR="00034E24" w:rsidTr="00E60DC2">
        <w:trPr>
          <w:trHeight w:val="3007"/>
        </w:trPr>
        <w:tc>
          <w:tcPr>
            <w:tcW w:w="2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4E24" w:rsidRPr="00034E24" w:rsidRDefault="00034E24" w:rsidP="00614CB0">
            <w:pPr>
              <w:pStyle w:val="BodyA"/>
              <w:tabs>
                <w:tab w:val="clear" w:pos="540"/>
              </w:tabs>
              <w:spacing w:line="240" w:lineRule="auto"/>
              <w:ind w:left="0"/>
              <w:rPr>
                <w:rFonts w:ascii="Open Sans" w:hAnsi="Open Sans"/>
              </w:rPr>
            </w:pPr>
            <w:r w:rsidRPr="00034E24">
              <w:rPr>
                <w:rFonts w:ascii="Open Sans" w:hAnsi="Open Sans"/>
              </w:rPr>
              <w:t>Jo Wadley and David Collier (Cloud 9’s CFO) both serve on the board of directors of the local chapter of Special Olympics.</w:t>
            </w:r>
            <w:r w:rsidR="002F2CE0">
              <w:rPr>
                <w:rFonts w:ascii="Open Sans" w:hAnsi="Open Sans"/>
              </w:rPr>
              <w:t xml:space="preserve"> </w:t>
            </w:r>
          </w:p>
        </w:tc>
        <w:tc>
          <w:tcPr>
            <w:tcW w:w="27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4E24" w:rsidRPr="00034E24" w:rsidRDefault="00034E24" w:rsidP="00614CB0">
            <w:pPr>
              <w:pStyle w:val="BodyA"/>
              <w:ind w:left="0"/>
              <w:rPr>
                <w:rFonts w:ascii="Open Sans" w:hAnsi="Open Sans"/>
              </w:rPr>
            </w:pPr>
            <w:r w:rsidRPr="00034E24">
              <w:rPr>
                <w:rFonts w:ascii="Open Sans" w:hAnsi="Open Sans"/>
              </w:rPr>
              <w:t>There may be a familiarity threat because Jo Wadley and David Collier serve together on the same board.</w:t>
            </w:r>
            <w:r w:rsidR="002F2CE0">
              <w:rPr>
                <w:rFonts w:ascii="Open Sans" w:hAnsi="Open Sans"/>
              </w:rPr>
              <w:t xml:space="preserve"> </w:t>
            </w:r>
            <w:r w:rsidRPr="00034E24">
              <w:rPr>
                <w:rFonts w:ascii="Open Sans" w:hAnsi="Open Sans"/>
              </w:rPr>
              <w:t>However, the familiarity threat can be addressed by an independent review of the engagement by the firm’s engagement quality control reviewer to determine that the audit team used an appropriate level of professional skepticism.</w:t>
            </w:r>
            <w:r w:rsidR="002F2CE0">
              <w:rPr>
                <w:rFonts w:ascii="Open Sans" w:hAnsi="Open Sans"/>
              </w:rPr>
              <w:t xml:space="preserve"> </w:t>
            </w:r>
            <w:r w:rsidRPr="00034E24">
              <w:rPr>
                <w:rFonts w:ascii="Open Sans" w:hAnsi="Open Sans"/>
              </w:rPr>
              <w:t>Independence is not impaired by this relationship.</w:t>
            </w:r>
            <w:r w:rsidR="002F2CE0">
              <w:rPr>
                <w:rFonts w:ascii="Open Sans" w:hAnsi="Open Sans"/>
              </w:rPr>
              <w:t xml:space="preserve"> </w:t>
            </w:r>
          </w:p>
        </w:tc>
      </w:tr>
      <w:tr w:rsidR="00034E24" w:rsidTr="00E60DC2">
        <w:trPr>
          <w:trHeight w:val="2107"/>
        </w:trPr>
        <w:tc>
          <w:tcPr>
            <w:tcW w:w="2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4E24" w:rsidRPr="00034E24" w:rsidRDefault="00034E24" w:rsidP="00614CB0">
            <w:pPr>
              <w:pStyle w:val="BodyA"/>
              <w:ind w:left="0"/>
              <w:rPr>
                <w:rFonts w:ascii="Open Sans" w:hAnsi="Open Sans"/>
              </w:rPr>
            </w:pPr>
            <w:r w:rsidRPr="00034E24">
              <w:rPr>
                <w:rFonts w:ascii="Open Sans" w:hAnsi="Open Sans"/>
              </w:rPr>
              <w:t>A tax senior in another office has a sister who consults with Cloud 9 on shoe design.</w:t>
            </w:r>
            <w:r w:rsidR="002F2CE0">
              <w:rPr>
                <w:rFonts w:ascii="Open Sans" w:hAnsi="Open Sans"/>
              </w:rPr>
              <w:t xml:space="preserve"> </w:t>
            </w:r>
            <w:r w:rsidRPr="00034E24">
              <w:rPr>
                <w:rFonts w:ascii="Open Sans" w:hAnsi="Open Sans"/>
              </w:rPr>
              <w:t>Cloud 9 is her biggest client.</w:t>
            </w:r>
            <w:r w:rsidR="002F2CE0">
              <w:rPr>
                <w:rFonts w:ascii="Open Sans" w:hAnsi="Open Sans"/>
              </w:rPr>
              <w:t xml:space="preserve"> </w:t>
            </w:r>
          </w:p>
        </w:tc>
        <w:tc>
          <w:tcPr>
            <w:tcW w:w="27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4E24" w:rsidRPr="00034E24" w:rsidRDefault="00034E24" w:rsidP="00614CB0">
            <w:pPr>
              <w:pStyle w:val="BodyA"/>
              <w:ind w:left="0"/>
              <w:rPr>
                <w:rFonts w:ascii="Open Sans" w:hAnsi="Open Sans"/>
              </w:rPr>
            </w:pPr>
            <w:r w:rsidRPr="00034E24">
              <w:rPr>
                <w:rFonts w:ascii="Open Sans" w:hAnsi="Open Sans"/>
              </w:rPr>
              <w:t>The sister who consults with Cloud 9 is a close relative of a member of W&amp;S Partners.</w:t>
            </w:r>
            <w:r w:rsidR="002F2CE0">
              <w:rPr>
                <w:rFonts w:ascii="Open Sans" w:hAnsi="Open Sans"/>
              </w:rPr>
              <w:t xml:space="preserve"> </w:t>
            </w:r>
            <w:r w:rsidRPr="00034E24">
              <w:rPr>
                <w:rFonts w:ascii="Open Sans" w:hAnsi="Open Sans"/>
              </w:rPr>
              <w:t>However, the tax senior is not likely a covered member.</w:t>
            </w:r>
            <w:r w:rsidR="002F2CE0">
              <w:rPr>
                <w:rFonts w:ascii="Open Sans" w:hAnsi="Open Sans"/>
              </w:rPr>
              <w:t xml:space="preserve"> </w:t>
            </w:r>
            <w:r w:rsidRPr="00034E24">
              <w:rPr>
                <w:rFonts w:ascii="Open Sans" w:hAnsi="Open Sans"/>
              </w:rPr>
              <w:t>Further, the rules related to close relatives say that the relative should not hold a key position with Cloud 9.</w:t>
            </w:r>
            <w:r w:rsidR="002F2CE0">
              <w:rPr>
                <w:rFonts w:ascii="Open Sans" w:hAnsi="Open Sans"/>
              </w:rPr>
              <w:t xml:space="preserve"> </w:t>
            </w:r>
            <w:r w:rsidRPr="00034E24">
              <w:rPr>
                <w:rFonts w:ascii="Open Sans" w:hAnsi="Open Sans"/>
              </w:rPr>
              <w:t>A consultant on shoe design would not be a key position.</w:t>
            </w:r>
            <w:r w:rsidR="002F2CE0">
              <w:rPr>
                <w:rFonts w:ascii="Open Sans" w:hAnsi="Open Sans"/>
              </w:rPr>
              <w:t xml:space="preserve"> </w:t>
            </w:r>
            <w:r w:rsidRPr="00034E24">
              <w:rPr>
                <w:rFonts w:ascii="Open Sans" w:hAnsi="Open Sans"/>
              </w:rPr>
              <w:t>Independence is not impaired.</w:t>
            </w:r>
          </w:p>
        </w:tc>
      </w:tr>
      <w:tr w:rsidR="00034E24" w:rsidTr="00E60DC2">
        <w:trPr>
          <w:trHeight w:val="1207"/>
        </w:trPr>
        <w:tc>
          <w:tcPr>
            <w:tcW w:w="2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4E24" w:rsidRPr="00034E24" w:rsidRDefault="00034E24" w:rsidP="00614CB0">
            <w:pPr>
              <w:pStyle w:val="BodyA"/>
              <w:ind w:left="0"/>
              <w:rPr>
                <w:rFonts w:ascii="Open Sans" w:hAnsi="Open Sans"/>
              </w:rPr>
            </w:pPr>
            <w:r w:rsidRPr="00034E24">
              <w:rPr>
                <w:rFonts w:ascii="Open Sans" w:hAnsi="Open Sans"/>
              </w:rPr>
              <w:t>Fifteen employees of W&amp;S Partners, ranging from partners to entry level staff, own shares in retailers that sell Cloud 9 shoes and apparel.</w:t>
            </w:r>
          </w:p>
        </w:tc>
        <w:tc>
          <w:tcPr>
            <w:tcW w:w="27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4E24" w:rsidRPr="00034E24" w:rsidRDefault="00034E24" w:rsidP="00614CB0">
            <w:pPr>
              <w:pStyle w:val="BodyA"/>
              <w:ind w:left="0"/>
              <w:rPr>
                <w:rFonts w:ascii="Open Sans" w:hAnsi="Open Sans"/>
              </w:rPr>
            </w:pPr>
            <w:r w:rsidRPr="00034E24">
              <w:rPr>
                <w:rFonts w:ascii="Open Sans" w:hAnsi="Open Sans"/>
              </w:rPr>
              <w:t>While 15 employees own stock in retailers who sell Cloud 9 shoes and apparel, they do not own stock in</w:t>
            </w:r>
            <w:bookmarkStart w:id="1" w:name="_GoBack"/>
            <w:bookmarkEnd w:id="1"/>
            <w:r w:rsidRPr="00034E24">
              <w:rPr>
                <w:rFonts w:ascii="Open Sans" w:hAnsi="Open Sans"/>
              </w:rPr>
              <w:t xml:space="preserve"> Cloud 9.</w:t>
            </w:r>
            <w:r w:rsidR="002F2CE0">
              <w:rPr>
                <w:rFonts w:ascii="Open Sans" w:hAnsi="Open Sans"/>
              </w:rPr>
              <w:t xml:space="preserve"> </w:t>
            </w:r>
            <w:r w:rsidRPr="00034E24">
              <w:rPr>
                <w:rFonts w:ascii="Open Sans" w:hAnsi="Open Sans"/>
              </w:rPr>
              <w:t>Independence is not impaired.</w:t>
            </w:r>
          </w:p>
        </w:tc>
      </w:tr>
      <w:tr w:rsidR="00034E24" w:rsidTr="00E60DC2">
        <w:trPr>
          <w:trHeight w:val="1207"/>
        </w:trPr>
        <w:tc>
          <w:tcPr>
            <w:tcW w:w="2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4E24" w:rsidRPr="00034E24" w:rsidRDefault="00034E24" w:rsidP="00614CB0">
            <w:pPr>
              <w:pStyle w:val="BodyA"/>
              <w:ind w:left="0"/>
              <w:rPr>
                <w:rFonts w:ascii="Open Sans" w:hAnsi="Open Sans"/>
              </w:rPr>
            </w:pPr>
            <w:r w:rsidRPr="00034E24">
              <w:rPr>
                <w:rFonts w:ascii="Open Sans" w:hAnsi="Open Sans"/>
              </w:rPr>
              <w:t>A survey shows that 23 percent of professional staff working for W&amp;S Partners have purchased Cloud 9 shoes in the past.</w:t>
            </w:r>
          </w:p>
        </w:tc>
        <w:tc>
          <w:tcPr>
            <w:tcW w:w="27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4E24" w:rsidRPr="00034E24" w:rsidRDefault="00034E24" w:rsidP="00614CB0">
            <w:pPr>
              <w:pStyle w:val="BodyA"/>
              <w:ind w:left="0"/>
              <w:rPr>
                <w:rFonts w:ascii="Open Sans" w:hAnsi="Open Sans"/>
              </w:rPr>
            </w:pPr>
            <w:r w:rsidRPr="00034E24">
              <w:rPr>
                <w:rFonts w:ascii="Open Sans" w:hAnsi="Open Sans"/>
              </w:rPr>
              <w:t>The fact that employees purchase Cloud 9 shoes does not impair independence.</w:t>
            </w:r>
            <w:r w:rsidR="002F2CE0">
              <w:rPr>
                <w:rFonts w:ascii="Open Sans" w:hAnsi="Open Sans"/>
              </w:rPr>
              <w:t xml:space="preserve"> </w:t>
            </w:r>
            <w:r w:rsidRPr="00034E24">
              <w:rPr>
                <w:rFonts w:ascii="Open Sans" w:hAnsi="Open Sans"/>
              </w:rPr>
              <w:t>Generally, purchasing a client’s products does not impair independence.</w:t>
            </w:r>
          </w:p>
        </w:tc>
      </w:tr>
    </w:tbl>
    <w:p w:rsidR="00034E24" w:rsidRPr="00034E24" w:rsidRDefault="00034E24" w:rsidP="00034E24">
      <w:pPr>
        <w:pStyle w:val="BodyA"/>
        <w:tabs>
          <w:tab w:val="clear" w:pos="540"/>
        </w:tabs>
        <w:spacing w:line="240" w:lineRule="auto"/>
        <w:ind w:left="0"/>
        <w:rPr>
          <w:rFonts w:ascii="Open Sans" w:hAnsi="Open Sans"/>
        </w:rPr>
      </w:pPr>
    </w:p>
    <w:p w:rsidR="00034E24" w:rsidRPr="00034E24" w:rsidRDefault="00034E24" w:rsidP="00034E24">
      <w:pPr>
        <w:pStyle w:val="BodyA"/>
        <w:tabs>
          <w:tab w:val="clear" w:pos="540"/>
        </w:tabs>
        <w:spacing w:line="240" w:lineRule="auto"/>
        <w:ind w:left="0"/>
        <w:rPr>
          <w:rFonts w:ascii="Open Sans" w:hAnsi="Open Sans"/>
        </w:rPr>
      </w:pPr>
      <w:r w:rsidRPr="00034E24">
        <w:rPr>
          <w:rFonts w:ascii="Open Sans" w:hAnsi="Open Sans"/>
          <w:sz w:val="18"/>
          <w:szCs w:val="18"/>
        </w:rPr>
        <w:t>LO 2,3,4,5.</w:t>
      </w:r>
      <w:r w:rsidR="002F2CE0">
        <w:rPr>
          <w:rFonts w:ascii="Open Sans" w:hAnsi="Open Sans"/>
          <w:sz w:val="18"/>
          <w:szCs w:val="18"/>
        </w:rPr>
        <w:t xml:space="preserve"> </w:t>
      </w:r>
      <w:r w:rsidRPr="00034E24">
        <w:rPr>
          <w:rFonts w:ascii="Open Sans" w:hAnsi="Open Sans"/>
          <w:sz w:val="18"/>
          <w:szCs w:val="18"/>
        </w:rPr>
        <w:t>BT: E, Difficulty: Moderate, TOT: 43 min., AACSB: Ethics, AICPA: Ethics, Decision Making</w:t>
      </w:r>
    </w:p>
    <w:sectPr w:rsidR="00034E24" w:rsidRPr="00034E24" w:rsidSect="00BC38C1">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B78" w:rsidRDefault="004A6B78">
      <w:r>
        <w:separator/>
      </w:r>
    </w:p>
  </w:endnote>
  <w:endnote w:type="continuationSeparator" w:id="0">
    <w:p w:rsidR="004A6B78" w:rsidRDefault="004A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0000000000000000000"/>
    <w:charset w:val="00"/>
    <w:family w:val="modern"/>
    <w:notTrueType/>
    <w:pitch w:val="variable"/>
    <w:sig w:usb0="8000002F" w:usb1="40000048" w:usb2="00000000" w:usb3="00000000" w:csb0="00000111" w:csb1="00000000"/>
  </w:font>
  <w:font w:name="Arial">
    <w:panose1 w:val="020B0604020202020204"/>
    <w:charset w:val="00"/>
    <w:family w:val="swiss"/>
    <w:pitch w:val="variable"/>
    <w:sig w:usb0="20002A87" w:usb1="80000000" w:usb2="00000008" w:usb3="00000000" w:csb0="000001FF" w:csb1="00000000"/>
  </w:font>
  <w:font w:name="Liberation Sans">
    <w:panose1 w:val="020B0604020202020204"/>
    <w:charset w:val="00"/>
    <w:family w:val="swiss"/>
    <w:pitch w:val="variable"/>
    <w:sig w:usb0="A00002AF" w:usb1="500078FB"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A2C" w:rsidRPr="00BC38C1" w:rsidRDefault="00480A2C" w:rsidP="00BC38C1">
    <w:pPr>
      <w:pStyle w:val="Footer"/>
      <w:tabs>
        <w:tab w:val="clear" w:pos="9360"/>
        <w:tab w:val="right" w:pos="9340"/>
      </w:tabs>
      <w:spacing w:line="240" w:lineRule="auto"/>
      <w:ind w:left="0"/>
      <w:rPr>
        <w:rFonts w:ascii="Open Sans" w:hAnsi="Open Sans"/>
      </w:rPr>
    </w:pPr>
    <w:r w:rsidRPr="00BC38C1">
      <w:rPr>
        <w:rFonts w:ascii="Open Sans" w:hAnsi="Open Sans"/>
        <w:sz w:val="20"/>
        <w:szCs w:val="20"/>
      </w:rPr>
      <w:fldChar w:fldCharType="begin"/>
    </w:r>
    <w:r w:rsidRPr="00BC38C1">
      <w:rPr>
        <w:rFonts w:ascii="Open Sans" w:hAnsi="Open Sans"/>
        <w:sz w:val="20"/>
        <w:szCs w:val="20"/>
      </w:rPr>
      <w:instrText xml:space="preserve"> PAGE </w:instrText>
    </w:r>
    <w:r w:rsidRPr="00BC38C1">
      <w:rPr>
        <w:rFonts w:ascii="Open Sans" w:hAnsi="Open Sans"/>
        <w:sz w:val="20"/>
        <w:szCs w:val="20"/>
      </w:rPr>
      <w:fldChar w:fldCharType="separate"/>
    </w:r>
    <w:r w:rsidR="00A16A1C">
      <w:rPr>
        <w:rFonts w:ascii="Open Sans" w:hAnsi="Open Sans"/>
        <w:noProof/>
        <w:sz w:val="20"/>
        <w:szCs w:val="20"/>
      </w:rPr>
      <w:t>22</w:t>
    </w:r>
    <w:r w:rsidRPr="00BC38C1">
      <w:rPr>
        <w:rFonts w:ascii="Open Sans" w:hAnsi="Open Sans"/>
        <w:sz w:val="20"/>
        <w:szCs w:val="20"/>
      </w:rPr>
      <w:fldChar w:fldCharType="end"/>
    </w:r>
    <w:r>
      <w:rPr>
        <w:rFonts w:ascii="Open Sans" w:hAnsi="Open Sans"/>
        <w:sz w:val="20"/>
        <w:szCs w:val="20"/>
      </w:rPr>
      <w:t xml:space="preserve"> </w:t>
    </w:r>
    <w:r w:rsidRPr="00BC38C1">
      <w:rPr>
        <w:rFonts w:ascii="Open Sans" w:hAnsi="Open Sans"/>
        <w:sz w:val="20"/>
        <w:szCs w:val="20"/>
      </w:rPr>
      <w:t>© 2022 John Wiley and Sons, Inc.</w:t>
    </w:r>
    <w:r w:rsidRPr="00BC38C1">
      <w:rPr>
        <w:rFonts w:ascii="Open Sans" w:hAnsi="Open Sans"/>
        <w:sz w:val="20"/>
        <w:szCs w:val="20"/>
      </w:rPr>
      <w:tab/>
    </w:r>
    <w:r w:rsidRPr="00BC38C1">
      <w:rPr>
        <w:rFonts w:ascii="Open Sans" w:hAnsi="Open Sans"/>
        <w:sz w:val="20"/>
        <w:szCs w:val="20"/>
      </w:rPr>
      <w:tab/>
      <w:t>For Instructor Use Only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B78" w:rsidRDefault="004A6B78">
      <w:r>
        <w:separator/>
      </w:r>
    </w:p>
  </w:footnote>
  <w:footnote w:type="continuationSeparator" w:id="0">
    <w:p w:rsidR="004A6B78" w:rsidRDefault="004A6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6E17"/>
    <w:multiLevelType w:val="hybridMultilevel"/>
    <w:tmpl w:val="4EFEC086"/>
    <w:styleLink w:val="ImportedStyle9"/>
    <w:lvl w:ilvl="0" w:tplc="6472BF6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561B2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B8789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1856F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3E96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F65FC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BEBC0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E41D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56828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27F003E"/>
    <w:multiLevelType w:val="hybridMultilevel"/>
    <w:tmpl w:val="E87EC906"/>
    <w:styleLink w:val="ImportedStyle17"/>
    <w:lvl w:ilvl="0" w:tplc="9DDA4E24">
      <w:start w:val="1"/>
      <w:numFmt w:val="lowerRoman"/>
      <w:lvlText w:val="%1."/>
      <w:lvlJc w:val="left"/>
      <w:pPr>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0DAE1F3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A0C054">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FDA1D08">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6C165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32E93C">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FA4061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30DF9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680BC6">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4C641AD"/>
    <w:multiLevelType w:val="hybridMultilevel"/>
    <w:tmpl w:val="DE40E79E"/>
    <w:numStyleLink w:val="ImportedStyle2"/>
  </w:abstractNum>
  <w:abstractNum w:abstractNumId="3">
    <w:nsid w:val="0B0D1C59"/>
    <w:multiLevelType w:val="hybridMultilevel"/>
    <w:tmpl w:val="E87EC906"/>
    <w:numStyleLink w:val="ImportedStyle17"/>
  </w:abstractNum>
  <w:abstractNum w:abstractNumId="4">
    <w:nsid w:val="0E2F549A"/>
    <w:multiLevelType w:val="hybridMultilevel"/>
    <w:tmpl w:val="56DA52F8"/>
    <w:numStyleLink w:val="ImportedStyle6"/>
  </w:abstractNum>
  <w:abstractNum w:abstractNumId="5">
    <w:nsid w:val="144D071F"/>
    <w:multiLevelType w:val="hybridMultilevel"/>
    <w:tmpl w:val="CC268960"/>
    <w:styleLink w:val="ImportedStyle19"/>
    <w:lvl w:ilvl="0" w:tplc="AFCA4784">
      <w:start w:val="1"/>
      <w:numFmt w:val="lowerRoman"/>
      <w:lvlText w:val="%1."/>
      <w:lvlJc w:val="left"/>
      <w:pPr>
        <w:ind w:left="1040" w:hanging="442"/>
      </w:pPr>
      <w:rPr>
        <w:rFonts w:hAnsi="Arial Unicode MS"/>
        <w:caps w:val="0"/>
        <w:smallCaps w:val="0"/>
        <w:strike w:val="0"/>
        <w:dstrike w:val="0"/>
        <w:outline w:val="0"/>
        <w:emboss w:val="0"/>
        <w:imprint w:val="0"/>
        <w:spacing w:val="0"/>
        <w:w w:val="100"/>
        <w:kern w:val="0"/>
        <w:position w:val="0"/>
        <w:highlight w:val="none"/>
        <w:vertAlign w:val="baseline"/>
      </w:rPr>
    </w:lvl>
    <w:lvl w:ilvl="1" w:tplc="FF480352">
      <w:start w:val="1"/>
      <w:numFmt w:val="lowerRoman"/>
      <w:lvlText w:val="%2."/>
      <w:lvlJc w:val="left"/>
      <w:pPr>
        <w:ind w:left="1800" w:hanging="482"/>
      </w:pPr>
      <w:rPr>
        <w:rFonts w:hAnsi="Arial Unicode MS"/>
        <w:caps w:val="0"/>
        <w:smallCaps w:val="0"/>
        <w:strike w:val="0"/>
        <w:dstrike w:val="0"/>
        <w:outline w:val="0"/>
        <w:emboss w:val="0"/>
        <w:imprint w:val="0"/>
        <w:spacing w:val="0"/>
        <w:w w:val="100"/>
        <w:kern w:val="0"/>
        <w:position w:val="0"/>
        <w:highlight w:val="none"/>
        <w:vertAlign w:val="baseline"/>
      </w:rPr>
    </w:lvl>
    <w:lvl w:ilvl="2" w:tplc="9C224994">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42829B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10B4F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32E13C">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46CE26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52E5C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2A78E2">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62C51BF"/>
    <w:multiLevelType w:val="hybridMultilevel"/>
    <w:tmpl w:val="46407272"/>
    <w:numStyleLink w:val="ImportedStyle18"/>
  </w:abstractNum>
  <w:abstractNum w:abstractNumId="7">
    <w:nsid w:val="1A404E50"/>
    <w:multiLevelType w:val="hybridMultilevel"/>
    <w:tmpl w:val="4EFEC086"/>
    <w:numStyleLink w:val="ImportedStyle9"/>
  </w:abstractNum>
  <w:abstractNum w:abstractNumId="8">
    <w:nsid w:val="23843B95"/>
    <w:multiLevelType w:val="hybridMultilevel"/>
    <w:tmpl w:val="CFCA1192"/>
    <w:numStyleLink w:val="ImportedStyle5"/>
  </w:abstractNum>
  <w:abstractNum w:abstractNumId="9">
    <w:nsid w:val="267A5A88"/>
    <w:multiLevelType w:val="hybridMultilevel"/>
    <w:tmpl w:val="DE40E79E"/>
    <w:styleLink w:val="ImportedStyle2"/>
    <w:lvl w:ilvl="0" w:tplc="5FDE20B0">
      <w:start w:val="1"/>
      <w:numFmt w:val="decimal"/>
      <w:suff w:val="nothing"/>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38C5FC">
      <w:start w:val="1"/>
      <w:numFmt w:val="lowerLetter"/>
      <w:lvlText w:val="%2."/>
      <w:lvlJc w:val="left"/>
      <w:pPr>
        <w:tabs>
          <w:tab w:val="num" w:pos="1440"/>
        </w:tabs>
        <w:ind w:left="1678" w:hanging="598"/>
      </w:pPr>
      <w:rPr>
        <w:rFonts w:hAnsi="Arial Unicode MS"/>
        <w:caps w:val="0"/>
        <w:smallCaps w:val="0"/>
        <w:strike w:val="0"/>
        <w:dstrike w:val="0"/>
        <w:outline w:val="0"/>
        <w:emboss w:val="0"/>
        <w:imprint w:val="0"/>
        <w:spacing w:val="0"/>
        <w:w w:val="100"/>
        <w:kern w:val="0"/>
        <w:position w:val="0"/>
        <w:highlight w:val="none"/>
        <w:vertAlign w:val="baseline"/>
      </w:rPr>
    </w:lvl>
    <w:lvl w:ilvl="2" w:tplc="F620E212">
      <w:start w:val="1"/>
      <w:numFmt w:val="lowerRoman"/>
      <w:lvlText w:val="%3."/>
      <w:lvlJc w:val="left"/>
      <w:pPr>
        <w:tabs>
          <w:tab w:val="num" w:pos="2160"/>
        </w:tabs>
        <w:ind w:left="2398"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78A25E0E">
      <w:start w:val="1"/>
      <w:numFmt w:val="decimal"/>
      <w:lvlText w:val="%4."/>
      <w:lvlJc w:val="left"/>
      <w:pPr>
        <w:tabs>
          <w:tab w:val="num" w:pos="2880"/>
        </w:tabs>
        <w:ind w:left="3118" w:hanging="598"/>
      </w:pPr>
      <w:rPr>
        <w:rFonts w:hAnsi="Arial Unicode MS"/>
        <w:caps w:val="0"/>
        <w:smallCaps w:val="0"/>
        <w:strike w:val="0"/>
        <w:dstrike w:val="0"/>
        <w:outline w:val="0"/>
        <w:emboss w:val="0"/>
        <w:imprint w:val="0"/>
        <w:spacing w:val="0"/>
        <w:w w:val="100"/>
        <w:kern w:val="0"/>
        <w:position w:val="0"/>
        <w:highlight w:val="none"/>
        <w:vertAlign w:val="baseline"/>
      </w:rPr>
    </w:lvl>
    <w:lvl w:ilvl="4" w:tplc="D5F264F2">
      <w:start w:val="1"/>
      <w:numFmt w:val="lowerLetter"/>
      <w:lvlText w:val="%5."/>
      <w:lvlJc w:val="left"/>
      <w:pPr>
        <w:tabs>
          <w:tab w:val="num" w:pos="3600"/>
        </w:tabs>
        <w:ind w:left="3838" w:hanging="598"/>
      </w:pPr>
      <w:rPr>
        <w:rFonts w:hAnsi="Arial Unicode MS"/>
        <w:caps w:val="0"/>
        <w:smallCaps w:val="0"/>
        <w:strike w:val="0"/>
        <w:dstrike w:val="0"/>
        <w:outline w:val="0"/>
        <w:emboss w:val="0"/>
        <w:imprint w:val="0"/>
        <w:spacing w:val="0"/>
        <w:w w:val="100"/>
        <w:kern w:val="0"/>
        <w:position w:val="0"/>
        <w:highlight w:val="none"/>
        <w:vertAlign w:val="baseline"/>
      </w:rPr>
    </w:lvl>
    <w:lvl w:ilvl="5" w:tplc="28C686BC">
      <w:start w:val="1"/>
      <w:numFmt w:val="lowerRoman"/>
      <w:lvlText w:val="%6."/>
      <w:lvlJc w:val="left"/>
      <w:pPr>
        <w:tabs>
          <w:tab w:val="num" w:pos="4320"/>
        </w:tabs>
        <w:ind w:left="4558"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5008D8DC">
      <w:start w:val="1"/>
      <w:numFmt w:val="decimal"/>
      <w:lvlText w:val="%7."/>
      <w:lvlJc w:val="left"/>
      <w:pPr>
        <w:tabs>
          <w:tab w:val="num" w:pos="5040"/>
        </w:tabs>
        <w:ind w:left="5278" w:hanging="598"/>
      </w:pPr>
      <w:rPr>
        <w:rFonts w:hAnsi="Arial Unicode MS"/>
        <w:caps w:val="0"/>
        <w:smallCaps w:val="0"/>
        <w:strike w:val="0"/>
        <w:dstrike w:val="0"/>
        <w:outline w:val="0"/>
        <w:emboss w:val="0"/>
        <w:imprint w:val="0"/>
        <w:spacing w:val="0"/>
        <w:w w:val="100"/>
        <w:kern w:val="0"/>
        <w:position w:val="0"/>
        <w:highlight w:val="none"/>
        <w:vertAlign w:val="baseline"/>
      </w:rPr>
    </w:lvl>
    <w:lvl w:ilvl="7" w:tplc="2A56839A">
      <w:start w:val="1"/>
      <w:numFmt w:val="lowerLetter"/>
      <w:lvlText w:val="%8."/>
      <w:lvlJc w:val="left"/>
      <w:pPr>
        <w:tabs>
          <w:tab w:val="num" w:pos="5760"/>
        </w:tabs>
        <w:ind w:left="5998" w:hanging="598"/>
      </w:pPr>
      <w:rPr>
        <w:rFonts w:hAnsi="Arial Unicode MS"/>
        <w:caps w:val="0"/>
        <w:smallCaps w:val="0"/>
        <w:strike w:val="0"/>
        <w:dstrike w:val="0"/>
        <w:outline w:val="0"/>
        <w:emboss w:val="0"/>
        <w:imprint w:val="0"/>
        <w:spacing w:val="0"/>
        <w:w w:val="100"/>
        <w:kern w:val="0"/>
        <w:position w:val="0"/>
        <w:highlight w:val="none"/>
        <w:vertAlign w:val="baseline"/>
      </w:rPr>
    </w:lvl>
    <w:lvl w:ilvl="8" w:tplc="542ED5F6">
      <w:start w:val="1"/>
      <w:numFmt w:val="lowerRoman"/>
      <w:lvlText w:val="%9."/>
      <w:lvlJc w:val="left"/>
      <w:pPr>
        <w:tabs>
          <w:tab w:val="num" w:pos="6480"/>
        </w:tabs>
        <w:ind w:left="6718"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26E67CA2"/>
    <w:multiLevelType w:val="hybridMultilevel"/>
    <w:tmpl w:val="695AF76A"/>
    <w:styleLink w:val="ImportedStyle14"/>
    <w:lvl w:ilvl="0" w:tplc="68BEA95E">
      <w:start w:val="1"/>
      <w:numFmt w:val="lowerRoman"/>
      <w:lvlText w:val="%1."/>
      <w:lvlJc w:val="left"/>
      <w:pPr>
        <w:ind w:left="108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04604F7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7CD422">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A4410E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3C430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E2D1FA">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4B4B50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889A6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1EEAE4">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27290A29"/>
    <w:multiLevelType w:val="hybridMultilevel"/>
    <w:tmpl w:val="CFCA1192"/>
    <w:styleLink w:val="ImportedStyle5"/>
    <w:lvl w:ilvl="0" w:tplc="52F27284">
      <w:start w:val="1"/>
      <w:numFmt w:val="decimal"/>
      <w:suff w:val="nothing"/>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08144E">
      <w:start w:val="1"/>
      <w:numFmt w:val="lowerLetter"/>
      <w:lvlText w:val="%2."/>
      <w:lvlJc w:val="left"/>
      <w:pPr>
        <w:tabs>
          <w:tab w:val="num" w:pos="1440"/>
        </w:tabs>
        <w:ind w:left="1678" w:hanging="598"/>
      </w:pPr>
      <w:rPr>
        <w:rFonts w:hAnsi="Arial Unicode MS"/>
        <w:caps w:val="0"/>
        <w:smallCaps w:val="0"/>
        <w:strike w:val="0"/>
        <w:dstrike w:val="0"/>
        <w:outline w:val="0"/>
        <w:emboss w:val="0"/>
        <w:imprint w:val="0"/>
        <w:spacing w:val="0"/>
        <w:w w:val="100"/>
        <w:kern w:val="0"/>
        <w:position w:val="0"/>
        <w:highlight w:val="none"/>
        <w:vertAlign w:val="baseline"/>
      </w:rPr>
    </w:lvl>
    <w:lvl w:ilvl="2" w:tplc="77F08C9A">
      <w:start w:val="1"/>
      <w:numFmt w:val="lowerRoman"/>
      <w:lvlText w:val="%3."/>
      <w:lvlJc w:val="left"/>
      <w:pPr>
        <w:tabs>
          <w:tab w:val="num" w:pos="2160"/>
        </w:tabs>
        <w:ind w:left="2398"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59A2F0B8">
      <w:start w:val="1"/>
      <w:numFmt w:val="decimal"/>
      <w:lvlText w:val="%4."/>
      <w:lvlJc w:val="left"/>
      <w:pPr>
        <w:tabs>
          <w:tab w:val="num" w:pos="2880"/>
        </w:tabs>
        <w:ind w:left="3118" w:hanging="598"/>
      </w:pPr>
      <w:rPr>
        <w:rFonts w:hAnsi="Arial Unicode MS"/>
        <w:caps w:val="0"/>
        <w:smallCaps w:val="0"/>
        <w:strike w:val="0"/>
        <w:dstrike w:val="0"/>
        <w:outline w:val="0"/>
        <w:emboss w:val="0"/>
        <w:imprint w:val="0"/>
        <w:spacing w:val="0"/>
        <w:w w:val="100"/>
        <w:kern w:val="0"/>
        <w:position w:val="0"/>
        <w:highlight w:val="none"/>
        <w:vertAlign w:val="baseline"/>
      </w:rPr>
    </w:lvl>
    <w:lvl w:ilvl="4" w:tplc="795651DC">
      <w:start w:val="1"/>
      <w:numFmt w:val="lowerLetter"/>
      <w:lvlText w:val="%5."/>
      <w:lvlJc w:val="left"/>
      <w:pPr>
        <w:tabs>
          <w:tab w:val="num" w:pos="3600"/>
        </w:tabs>
        <w:ind w:left="3838" w:hanging="598"/>
      </w:pPr>
      <w:rPr>
        <w:rFonts w:hAnsi="Arial Unicode MS"/>
        <w:caps w:val="0"/>
        <w:smallCaps w:val="0"/>
        <w:strike w:val="0"/>
        <w:dstrike w:val="0"/>
        <w:outline w:val="0"/>
        <w:emboss w:val="0"/>
        <w:imprint w:val="0"/>
        <w:spacing w:val="0"/>
        <w:w w:val="100"/>
        <w:kern w:val="0"/>
        <w:position w:val="0"/>
        <w:highlight w:val="none"/>
        <w:vertAlign w:val="baseline"/>
      </w:rPr>
    </w:lvl>
    <w:lvl w:ilvl="5" w:tplc="B4E64998">
      <w:start w:val="1"/>
      <w:numFmt w:val="lowerRoman"/>
      <w:lvlText w:val="%6."/>
      <w:lvlJc w:val="left"/>
      <w:pPr>
        <w:tabs>
          <w:tab w:val="num" w:pos="4320"/>
        </w:tabs>
        <w:ind w:left="4558"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E0E69C40">
      <w:start w:val="1"/>
      <w:numFmt w:val="decimal"/>
      <w:lvlText w:val="%7."/>
      <w:lvlJc w:val="left"/>
      <w:pPr>
        <w:tabs>
          <w:tab w:val="num" w:pos="5040"/>
        </w:tabs>
        <w:ind w:left="5278" w:hanging="598"/>
      </w:pPr>
      <w:rPr>
        <w:rFonts w:hAnsi="Arial Unicode MS"/>
        <w:caps w:val="0"/>
        <w:smallCaps w:val="0"/>
        <w:strike w:val="0"/>
        <w:dstrike w:val="0"/>
        <w:outline w:val="0"/>
        <w:emboss w:val="0"/>
        <w:imprint w:val="0"/>
        <w:spacing w:val="0"/>
        <w:w w:val="100"/>
        <w:kern w:val="0"/>
        <w:position w:val="0"/>
        <w:highlight w:val="none"/>
        <w:vertAlign w:val="baseline"/>
      </w:rPr>
    </w:lvl>
    <w:lvl w:ilvl="7" w:tplc="A9BE59C8">
      <w:start w:val="1"/>
      <w:numFmt w:val="lowerLetter"/>
      <w:lvlText w:val="%8."/>
      <w:lvlJc w:val="left"/>
      <w:pPr>
        <w:tabs>
          <w:tab w:val="num" w:pos="5760"/>
        </w:tabs>
        <w:ind w:left="5998" w:hanging="598"/>
      </w:pPr>
      <w:rPr>
        <w:rFonts w:hAnsi="Arial Unicode MS"/>
        <w:caps w:val="0"/>
        <w:smallCaps w:val="0"/>
        <w:strike w:val="0"/>
        <w:dstrike w:val="0"/>
        <w:outline w:val="0"/>
        <w:emboss w:val="0"/>
        <w:imprint w:val="0"/>
        <w:spacing w:val="0"/>
        <w:w w:val="100"/>
        <w:kern w:val="0"/>
        <w:position w:val="0"/>
        <w:highlight w:val="none"/>
        <w:vertAlign w:val="baseline"/>
      </w:rPr>
    </w:lvl>
    <w:lvl w:ilvl="8" w:tplc="CF00CE6E">
      <w:start w:val="1"/>
      <w:numFmt w:val="lowerRoman"/>
      <w:lvlText w:val="%9."/>
      <w:lvlJc w:val="left"/>
      <w:pPr>
        <w:tabs>
          <w:tab w:val="num" w:pos="6480"/>
        </w:tabs>
        <w:ind w:left="6718"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2A0A7779"/>
    <w:multiLevelType w:val="hybridMultilevel"/>
    <w:tmpl w:val="56DA52F8"/>
    <w:styleLink w:val="ImportedStyle6"/>
    <w:lvl w:ilvl="0" w:tplc="7AACA0A0">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62B8A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FEDD0C">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D86CA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A40BE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207F52">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B1A193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34609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BE449E">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2AAD6350"/>
    <w:multiLevelType w:val="hybridMultilevel"/>
    <w:tmpl w:val="F6D4C4C2"/>
    <w:numStyleLink w:val="ImportedStyle11"/>
  </w:abstractNum>
  <w:abstractNum w:abstractNumId="14">
    <w:nsid w:val="2F825AFF"/>
    <w:multiLevelType w:val="hybridMultilevel"/>
    <w:tmpl w:val="52CE2A0A"/>
    <w:styleLink w:val="ImportedStyle7"/>
    <w:lvl w:ilvl="0" w:tplc="06346258">
      <w:start w:val="1"/>
      <w:numFmt w:val="bullet"/>
      <w:lvlText w:val="·"/>
      <w:lvlJc w:val="left"/>
      <w:pPr>
        <w:tabs>
          <w:tab w:val="num" w:pos="540"/>
          <w:tab w:val="left" w:pos="720"/>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DA7548">
      <w:start w:val="1"/>
      <w:numFmt w:val="bullet"/>
      <w:lvlText w:val="o"/>
      <w:lvlJc w:val="left"/>
      <w:pPr>
        <w:tabs>
          <w:tab w:val="left" w:pos="540"/>
        </w:tabs>
        <w:ind w:left="7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3E7DB4">
      <w:start w:val="1"/>
      <w:numFmt w:val="bullet"/>
      <w:lvlText w:val="▪"/>
      <w:lvlJc w:val="left"/>
      <w:pPr>
        <w:tabs>
          <w:tab w:val="left" w:pos="540"/>
          <w:tab w:val="left" w:pos="720"/>
        </w:tabs>
        <w:ind w:left="14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B070A2">
      <w:start w:val="1"/>
      <w:numFmt w:val="bullet"/>
      <w:lvlText w:val="·"/>
      <w:lvlJc w:val="left"/>
      <w:pPr>
        <w:tabs>
          <w:tab w:val="left" w:pos="540"/>
          <w:tab w:val="left" w:pos="720"/>
        </w:tabs>
        <w:ind w:left="21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3CB852">
      <w:start w:val="1"/>
      <w:numFmt w:val="bullet"/>
      <w:lvlText w:val="o"/>
      <w:lvlJc w:val="left"/>
      <w:pPr>
        <w:tabs>
          <w:tab w:val="left" w:pos="540"/>
          <w:tab w:val="left" w:pos="720"/>
        </w:tabs>
        <w:ind w:left="28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5C7AFE">
      <w:start w:val="1"/>
      <w:numFmt w:val="bullet"/>
      <w:lvlText w:val="▪"/>
      <w:lvlJc w:val="left"/>
      <w:pPr>
        <w:tabs>
          <w:tab w:val="left" w:pos="540"/>
          <w:tab w:val="left" w:pos="720"/>
        </w:tabs>
        <w:ind w:left="36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60AB0">
      <w:start w:val="1"/>
      <w:numFmt w:val="bullet"/>
      <w:lvlText w:val="·"/>
      <w:lvlJc w:val="left"/>
      <w:pPr>
        <w:tabs>
          <w:tab w:val="left" w:pos="540"/>
          <w:tab w:val="left" w:pos="720"/>
        </w:tabs>
        <w:ind w:left="432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5ED1DA">
      <w:start w:val="1"/>
      <w:numFmt w:val="bullet"/>
      <w:lvlText w:val="o"/>
      <w:lvlJc w:val="left"/>
      <w:pPr>
        <w:tabs>
          <w:tab w:val="left" w:pos="540"/>
          <w:tab w:val="left" w:pos="720"/>
        </w:tabs>
        <w:ind w:left="50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98F78C">
      <w:start w:val="1"/>
      <w:numFmt w:val="bullet"/>
      <w:lvlText w:val="▪"/>
      <w:lvlJc w:val="left"/>
      <w:pPr>
        <w:tabs>
          <w:tab w:val="left" w:pos="540"/>
          <w:tab w:val="left" w:pos="720"/>
        </w:tabs>
        <w:ind w:left="57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34C773B2"/>
    <w:multiLevelType w:val="hybridMultilevel"/>
    <w:tmpl w:val="94004080"/>
    <w:styleLink w:val="ImportedStyle22"/>
    <w:lvl w:ilvl="0" w:tplc="F8DE1ACC">
      <w:start w:val="1"/>
      <w:numFmt w:val="lowerRoman"/>
      <w:lvlText w:val="%1."/>
      <w:lvlJc w:val="left"/>
      <w:pPr>
        <w:ind w:left="108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679E906A">
      <w:start w:val="1"/>
      <w:numFmt w:val="lowerRoman"/>
      <w:lvlText w:val="%2."/>
      <w:lvlJc w:val="left"/>
      <w:pPr>
        <w:ind w:left="1800" w:hanging="482"/>
      </w:pPr>
      <w:rPr>
        <w:rFonts w:hAnsi="Arial Unicode MS"/>
        <w:caps w:val="0"/>
        <w:smallCaps w:val="0"/>
        <w:strike w:val="0"/>
        <w:dstrike w:val="0"/>
        <w:outline w:val="0"/>
        <w:emboss w:val="0"/>
        <w:imprint w:val="0"/>
        <w:spacing w:val="0"/>
        <w:w w:val="100"/>
        <w:kern w:val="0"/>
        <w:position w:val="0"/>
        <w:highlight w:val="none"/>
        <w:vertAlign w:val="baseline"/>
      </w:rPr>
    </w:lvl>
    <w:lvl w:ilvl="2" w:tplc="AD4A5D3E">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17478C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C6D37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8271CE">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3CE076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62565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585B26">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35507ED4"/>
    <w:multiLevelType w:val="hybridMultilevel"/>
    <w:tmpl w:val="C1FC74C4"/>
    <w:styleLink w:val="ImportedStyle13"/>
    <w:lvl w:ilvl="0" w:tplc="17C2EA56">
      <w:start w:val="1"/>
      <w:numFmt w:val="lowerRoman"/>
      <w:lvlText w:val="%1."/>
      <w:lvlJc w:val="left"/>
      <w:pPr>
        <w:ind w:left="108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AA3C5A4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DEAA9C">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D0052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E203B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841736">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3A6E1E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8609C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A8DCF8">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3757322C"/>
    <w:multiLevelType w:val="hybridMultilevel"/>
    <w:tmpl w:val="F6D4C4C2"/>
    <w:styleLink w:val="ImportedStyle11"/>
    <w:lvl w:ilvl="0" w:tplc="F94C686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6A490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76504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52E66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1E3ED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D4CE3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A6AA8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A01CD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3811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39246089"/>
    <w:multiLevelType w:val="hybridMultilevel"/>
    <w:tmpl w:val="BBFC6A06"/>
    <w:numStyleLink w:val="ImportedStyle10"/>
  </w:abstractNum>
  <w:abstractNum w:abstractNumId="19">
    <w:nsid w:val="3BD105D1"/>
    <w:multiLevelType w:val="hybridMultilevel"/>
    <w:tmpl w:val="BBA09ACA"/>
    <w:numStyleLink w:val="ImportedStyle15"/>
  </w:abstractNum>
  <w:abstractNum w:abstractNumId="20">
    <w:nsid w:val="3C8867CF"/>
    <w:multiLevelType w:val="hybridMultilevel"/>
    <w:tmpl w:val="8A1004DC"/>
    <w:styleLink w:val="ImportedStyle3"/>
    <w:lvl w:ilvl="0" w:tplc="C602E6F4">
      <w:start w:val="1"/>
      <w:numFmt w:val="bullet"/>
      <w:lvlText w:val="·"/>
      <w:lvlJc w:val="left"/>
      <w:pPr>
        <w:tabs>
          <w:tab w:val="num" w:pos="5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AA72DE">
      <w:start w:val="1"/>
      <w:numFmt w:val="bullet"/>
      <w:lvlText w:val="o"/>
      <w:lvlJc w:val="left"/>
      <w:pPr>
        <w:tabs>
          <w:tab w:val="num" w:pos="1440"/>
        </w:tabs>
        <w:ind w:left="162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140A88">
      <w:start w:val="1"/>
      <w:numFmt w:val="bullet"/>
      <w:lvlText w:val="▪"/>
      <w:lvlJc w:val="left"/>
      <w:pPr>
        <w:tabs>
          <w:tab w:val="num" w:pos="2160"/>
        </w:tabs>
        <w:ind w:left="234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3AEECC">
      <w:start w:val="1"/>
      <w:numFmt w:val="bullet"/>
      <w:lvlText w:val="·"/>
      <w:lvlJc w:val="left"/>
      <w:pPr>
        <w:tabs>
          <w:tab w:val="num" w:pos="2880"/>
        </w:tabs>
        <w:ind w:left="306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6EF9A8">
      <w:start w:val="1"/>
      <w:numFmt w:val="bullet"/>
      <w:lvlText w:val="o"/>
      <w:lvlJc w:val="left"/>
      <w:pPr>
        <w:tabs>
          <w:tab w:val="num" w:pos="3600"/>
        </w:tabs>
        <w:ind w:left="378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F2C388">
      <w:start w:val="1"/>
      <w:numFmt w:val="bullet"/>
      <w:lvlText w:val="▪"/>
      <w:lvlJc w:val="left"/>
      <w:pPr>
        <w:tabs>
          <w:tab w:val="num" w:pos="4320"/>
        </w:tabs>
        <w:ind w:left="450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2CD340">
      <w:start w:val="1"/>
      <w:numFmt w:val="bullet"/>
      <w:lvlText w:val="·"/>
      <w:lvlJc w:val="left"/>
      <w:pPr>
        <w:tabs>
          <w:tab w:val="num" w:pos="5040"/>
        </w:tabs>
        <w:ind w:left="522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32E942">
      <w:start w:val="1"/>
      <w:numFmt w:val="bullet"/>
      <w:lvlText w:val="o"/>
      <w:lvlJc w:val="left"/>
      <w:pPr>
        <w:tabs>
          <w:tab w:val="num" w:pos="5760"/>
        </w:tabs>
        <w:ind w:left="594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6E246E">
      <w:start w:val="1"/>
      <w:numFmt w:val="bullet"/>
      <w:lvlText w:val="▪"/>
      <w:lvlJc w:val="left"/>
      <w:pPr>
        <w:tabs>
          <w:tab w:val="num" w:pos="6480"/>
        </w:tabs>
        <w:ind w:left="666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3CA66A91"/>
    <w:multiLevelType w:val="hybridMultilevel"/>
    <w:tmpl w:val="C1FC74C4"/>
    <w:numStyleLink w:val="ImportedStyle13"/>
  </w:abstractNum>
  <w:abstractNum w:abstractNumId="22">
    <w:nsid w:val="3F7D6971"/>
    <w:multiLevelType w:val="hybridMultilevel"/>
    <w:tmpl w:val="BBA09ACA"/>
    <w:styleLink w:val="ImportedStyle15"/>
    <w:lvl w:ilvl="0" w:tplc="E1086CB6">
      <w:start w:val="1"/>
      <w:numFmt w:val="lowerRoman"/>
      <w:lvlText w:val="%1."/>
      <w:lvlJc w:val="left"/>
      <w:pPr>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D8F0218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F6EE20">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8A05B7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BEE993C">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5E9C9A">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886EF8E">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58575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18A266">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40751B30"/>
    <w:multiLevelType w:val="hybridMultilevel"/>
    <w:tmpl w:val="695AF76A"/>
    <w:numStyleLink w:val="ImportedStyle14"/>
  </w:abstractNum>
  <w:abstractNum w:abstractNumId="24">
    <w:nsid w:val="435E3BBC"/>
    <w:multiLevelType w:val="hybridMultilevel"/>
    <w:tmpl w:val="1C043DFC"/>
    <w:numStyleLink w:val="ImportedStyle21"/>
  </w:abstractNum>
  <w:abstractNum w:abstractNumId="25">
    <w:nsid w:val="473466E3"/>
    <w:multiLevelType w:val="hybridMultilevel"/>
    <w:tmpl w:val="BBFC6A06"/>
    <w:styleLink w:val="ImportedStyle10"/>
    <w:lvl w:ilvl="0" w:tplc="E91EC8F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383A5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EEC5C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9E4D0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3072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E899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AE582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C4A5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BCF94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47C476EE"/>
    <w:multiLevelType w:val="hybridMultilevel"/>
    <w:tmpl w:val="DEC00154"/>
    <w:numStyleLink w:val="ImportedStyle16"/>
  </w:abstractNum>
  <w:abstractNum w:abstractNumId="27">
    <w:nsid w:val="4DDC2A79"/>
    <w:multiLevelType w:val="hybridMultilevel"/>
    <w:tmpl w:val="585C1E94"/>
    <w:styleLink w:val="ImportedStyle8"/>
    <w:lvl w:ilvl="0" w:tplc="6C58E24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76180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52C9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1437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16524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D803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F0CF9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66350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FA19C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4F4D71C6"/>
    <w:multiLevelType w:val="hybridMultilevel"/>
    <w:tmpl w:val="1C043DFC"/>
    <w:styleLink w:val="ImportedStyle21"/>
    <w:lvl w:ilvl="0" w:tplc="7F58BA1E">
      <w:start w:val="1"/>
      <w:numFmt w:val="lowerRoman"/>
      <w:lvlText w:val="%1."/>
      <w:lvlJc w:val="left"/>
      <w:pPr>
        <w:ind w:left="1040" w:hanging="442"/>
      </w:pPr>
      <w:rPr>
        <w:rFonts w:hAnsi="Arial Unicode MS"/>
        <w:caps w:val="0"/>
        <w:smallCaps w:val="0"/>
        <w:strike w:val="0"/>
        <w:dstrike w:val="0"/>
        <w:outline w:val="0"/>
        <w:emboss w:val="0"/>
        <w:imprint w:val="0"/>
        <w:spacing w:val="0"/>
        <w:w w:val="100"/>
        <w:kern w:val="0"/>
        <w:position w:val="0"/>
        <w:highlight w:val="none"/>
        <w:vertAlign w:val="baseline"/>
      </w:rPr>
    </w:lvl>
    <w:lvl w:ilvl="1" w:tplc="B63CB68A">
      <w:start w:val="1"/>
      <w:numFmt w:val="lowerRoman"/>
      <w:lvlText w:val="%2."/>
      <w:lvlJc w:val="left"/>
      <w:pPr>
        <w:ind w:left="1800" w:hanging="482"/>
      </w:pPr>
      <w:rPr>
        <w:rFonts w:hAnsi="Arial Unicode MS"/>
        <w:caps w:val="0"/>
        <w:smallCaps w:val="0"/>
        <w:strike w:val="0"/>
        <w:dstrike w:val="0"/>
        <w:outline w:val="0"/>
        <w:emboss w:val="0"/>
        <w:imprint w:val="0"/>
        <w:spacing w:val="0"/>
        <w:w w:val="100"/>
        <w:kern w:val="0"/>
        <w:position w:val="0"/>
        <w:highlight w:val="none"/>
        <w:vertAlign w:val="baseline"/>
      </w:rPr>
    </w:lvl>
    <w:lvl w:ilvl="2" w:tplc="62526134">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6E0581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185CA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C28202">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878F62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9EF37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E6ADBA">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52B81F36"/>
    <w:multiLevelType w:val="hybridMultilevel"/>
    <w:tmpl w:val="CC268960"/>
    <w:numStyleLink w:val="ImportedStyle19"/>
  </w:abstractNum>
  <w:abstractNum w:abstractNumId="30">
    <w:nsid w:val="572A3D71"/>
    <w:multiLevelType w:val="hybridMultilevel"/>
    <w:tmpl w:val="AA3C67DC"/>
    <w:styleLink w:val="ImportedStyle4"/>
    <w:lvl w:ilvl="0" w:tplc="C5AABEA8">
      <w:start w:val="1"/>
      <w:numFmt w:val="decimal"/>
      <w:suff w:val="nothing"/>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362650">
      <w:start w:val="1"/>
      <w:numFmt w:val="lowerLetter"/>
      <w:lvlText w:val="%2."/>
      <w:lvlJc w:val="left"/>
      <w:pPr>
        <w:tabs>
          <w:tab w:val="num" w:pos="1440"/>
        </w:tabs>
        <w:ind w:left="1678" w:hanging="598"/>
      </w:pPr>
      <w:rPr>
        <w:rFonts w:hAnsi="Arial Unicode MS"/>
        <w:caps w:val="0"/>
        <w:smallCaps w:val="0"/>
        <w:strike w:val="0"/>
        <w:dstrike w:val="0"/>
        <w:outline w:val="0"/>
        <w:emboss w:val="0"/>
        <w:imprint w:val="0"/>
        <w:spacing w:val="0"/>
        <w:w w:val="100"/>
        <w:kern w:val="0"/>
        <w:position w:val="0"/>
        <w:highlight w:val="none"/>
        <w:vertAlign w:val="baseline"/>
      </w:rPr>
    </w:lvl>
    <w:lvl w:ilvl="2" w:tplc="52226726">
      <w:start w:val="1"/>
      <w:numFmt w:val="lowerRoman"/>
      <w:lvlText w:val="%3."/>
      <w:lvlJc w:val="left"/>
      <w:pPr>
        <w:tabs>
          <w:tab w:val="num" w:pos="2160"/>
        </w:tabs>
        <w:ind w:left="2398"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A95EF1D6">
      <w:start w:val="1"/>
      <w:numFmt w:val="decimal"/>
      <w:lvlText w:val="%4."/>
      <w:lvlJc w:val="left"/>
      <w:pPr>
        <w:tabs>
          <w:tab w:val="num" w:pos="2880"/>
        </w:tabs>
        <w:ind w:left="3118" w:hanging="598"/>
      </w:pPr>
      <w:rPr>
        <w:rFonts w:hAnsi="Arial Unicode MS"/>
        <w:caps w:val="0"/>
        <w:smallCaps w:val="0"/>
        <w:strike w:val="0"/>
        <w:dstrike w:val="0"/>
        <w:outline w:val="0"/>
        <w:emboss w:val="0"/>
        <w:imprint w:val="0"/>
        <w:spacing w:val="0"/>
        <w:w w:val="100"/>
        <w:kern w:val="0"/>
        <w:position w:val="0"/>
        <w:highlight w:val="none"/>
        <w:vertAlign w:val="baseline"/>
      </w:rPr>
    </w:lvl>
    <w:lvl w:ilvl="4" w:tplc="60725542">
      <w:start w:val="1"/>
      <w:numFmt w:val="lowerLetter"/>
      <w:lvlText w:val="%5."/>
      <w:lvlJc w:val="left"/>
      <w:pPr>
        <w:tabs>
          <w:tab w:val="num" w:pos="3600"/>
        </w:tabs>
        <w:ind w:left="3838" w:hanging="598"/>
      </w:pPr>
      <w:rPr>
        <w:rFonts w:hAnsi="Arial Unicode MS"/>
        <w:caps w:val="0"/>
        <w:smallCaps w:val="0"/>
        <w:strike w:val="0"/>
        <w:dstrike w:val="0"/>
        <w:outline w:val="0"/>
        <w:emboss w:val="0"/>
        <w:imprint w:val="0"/>
        <w:spacing w:val="0"/>
        <w:w w:val="100"/>
        <w:kern w:val="0"/>
        <w:position w:val="0"/>
        <w:highlight w:val="none"/>
        <w:vertAlign w:val="baseline"/>
      </w:rPr>
    </w:lvl>
    <w:lvl w:ilvl="5" w:tplc="3D58BF56">
      <w:start w:val="1"/>
      <w:numFmt w:val="lowerRoman"/>
      <w:lvlText w:val="%6."/>
      <w:lvlJc w:val="left"/>
      <w:pPr>
        <w:tabs>
          <w:tab w:val="num" w:pos="4320"/>
        </w:tabs>
        <w:ind w:left="4558"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B6A0B5FE">
      <w:start w:val="1"/>
      <w:numFmt w:val="decimal"/>
      <w:lvlText w:val="%7."/>
      <w:lvlJc w:val="left"/>
      <w:pPr>
        <w:tabs>
          <w:tab w:val="num" w:pos="5040"/>
        </w:tabs>
        <w:ind w:left="5278" w:hanging="598"/>
      </w:pPr>
      <w:rPr>
        <w:rFonts w:hAnsi="Arial Unicode MS"/>
        <w:caps w:val="0"/>
        <w:smallCaps w:val="0"/>
        <w:strike w:val="0"/>
        <w:dstrike w:val="0"/>
        <w:outline w:val="0"/>
        <w:emboss w:val="0"/>
        <w:imprint w:val="0"/>
        <w:spacing w:val="0"/>
        <w:w w:val="100"/>
        <w:kern w:val="0"/>
        <w:position w:val="0"/>
        <w:highlight w:val="none"/>
        <w:vertAlign w:val="baseline"/>
      </w:rPr>
    </w:lvl>
    <w:lvl w:ilvl="7" w:tplc="659ED3A2">
      <w:start w:val="1"/>
      <w:numFmt w:val="lowerLetter"/>
      <w:lvlText w:val="%8."/>
      <w:lvlJc w:val="left"/>
      <w:pPr>
        <w:tabs>
          <w:tab w:val="num" w:pos="5760"/>
        </w:tabs>
        <w:ind w:left="5998" w:hanging="598"/>
      </w:pPr>
      <w:rPr>
        <w:rFonts w:hAnsi="Arial Unicode MS"/>
        <w:caps w:val="0"/>
        <w:smallCaps w:val="0"/>
        <w:strike w:val="0"/>
        <w:dstrike w:val="0"/>
        <w:outline w:val="0"/>
        <w:emboss w:val="0"/>
        <w:imprint w:val="0"/>
        <w:spacing w:val="0"/>
        <w:w w:val="100"/>
        <w:kern w:val="0"/>
        <w:position w:val="0"/>
        <w:highlight w:val="none"/>
        <w:vertAlign w:val="baseline"/>
      </w:rPr>
    </w:lvl>
    <w:lvl w:ilvl="8" w:tplc="7B1C47EA">
      <w:start w:val="1"/>
      <w:numFmt w:val="lowerRoman"/>
      <w:lvlText w:val="%9."/>
      <w:lvlJc w:val="left"/>
      <w:pPr>
        <w:tabs>
          <w:tab w:val="num" w:pos="6480"/>
        </w:tabs>
        <w:ind w:left="6718"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5C82294C"/>
    <w:multiLevelType w:val="hybridMultilevel"/>
    <w:tmpl w:val="0F7C8C90"/>
    <w:styleLink w:val="ImportedStyle20"/>
    <w:lvl w:ilvl="0" w:tplc="160A0346">
      <w:start w:val="1"/>
      <w:numFmt w:val="lowerRoman"/>
      <w:lvlText w:val="%1."/>
      <w:lvlJc w:val="left"/>
      <w:pPr>
        <w:ind w:left="1040" w:hanging="442"/>
      </w:pPr>
      <w:rPr>
        <w:rFonts w:hAnsi="Arial Unicode MS"/>
        <w:caps w:val="0"/>
        <w:smallCaps w:val="0"/>
        <w:strike w:val="0"/>
        <w:dstrike w:val="0"/>
        <w:outline w:val="0"/>
        <w:emboss w:val="0"/>
        <w:imprint w:val="0"/>
        <w:spacing w:val="0"/>
        <w:w w:val="100"/>
        <w:kern w:val="0"/>
        <w:position w:val="0"/>
        <w:highlight w:val="none"/>
        <w:vertAlign w:val="baseline"/>
      </w:rPr>
    </w:lvl>
    <w:lvl w:ilvl="1" w:tplc="D824824A">
      <w:start w:val="1"/>
      <w:numFmt w:val="lowerRoman"/>
      <w:lvlText w:val="%2."/>
      <w:lvlJc w:val="left"/>
      <w:pPr>
        <w:ind w:left="1800" w:hanging="482"/>
      </w:pPr>
      <w:rPr>
        <w:rFonts w:hAnsi="Arial Unicode MS"/>
        <w:caps w:val="0"/>
        <w:smallCaps w:val="0"/>
        <w:strike w:val="0"/>
        <w:dstrike w:val="0"/>
        <w:outline w:val="0"/>
        <w:emboss w:val="0"/>
        <w:imprint w:val="0"/>
        <w:spacing w:val="0"/>
        <w:w w:val="100"/>
        <w:kern w:val="0"/>
        <w:position w:val="0"/>
        <w:highlight w:val="none"/>
        <w:vertAlign w:val="baseline"/>
      </w:rPr>
    </w:lvl>
    <w:lvl w:ilvl="2" w:tplc="B186D8AA">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344164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12707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EB01FD4">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E30B66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5072A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BE39DC">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606D0E76"/>
    <w:multiLevelType w:val="hybridMultilevel"/>
    <w:tmpl w:val="94004080"/>
    <w:numStyleLink w:val="ImportedStyle22"/>
  </w:abstractNum>
  <w:abstractNum w:abstractNumId="33">
    <w:nsid w:val="62A34EA9"/>
    <w:multiLevelType w:val="hybridMultilevel"/>
    <w:tmpl w:val="DEC00154"/>
    <w:styleLink w:val="ImportedStyle16"/>
    <w:lvl w:ilvl="0" w:tplc="6EC61E82">
      <w:start w:val="1"/>
      <w:numFmt w:val="lowerRoman"/>
      <w:lvlText w:val="%1."/>
      <w:lvlJc w:val="left"/>
      <w:pPr>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ABCC5030">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52910C">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C66215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BA41E6">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7276D4">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20E233A">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04D0F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34D1FA">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62C60F8C"/>
    <w:multiLevelType w:val="hybridMultilevel"/>
    <w:tmpl w:val="46407272"/>
    <w:styleLink w:val="ImportedStyle18"/>
    <w:lvl w:ilvl="0" w:tplc="13062326">
      <w:start w:val="1"/>
      <w:numFmt w:val="lowerRoman"/>
      <w:lvlText w:val="%1."/>
      <w:lvlJc w:val="left"/>
      <w:pPr>
        <w:ind w:left="108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AEDCC74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2E717A">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BE2197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5A457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0E710E">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8EE7AD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44966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C0EBB8">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695533F6"/>
    <w:multiLevelType w:val="hybridMultilevel"/>
    <w:tmpl w:val="AA3C67DC"/>
    <w:numStyleLink w:val="ImportedStyle4"/>
  </w:abstractNum>
  <w:abstractNum w:abstractNumId="36">
    <w:nsid w:val="6E214735"/>
    <w:multiLevelType w:val="hybridMultilevel"/>
    <w:tmpl w:val="936C060E"/>
    <w:numStyleLink w:val="ImportedStyle12"/>
  </w:abstractNum>
  <w:abstractNum w:abstractNumId="37">
    <w:nsid w:val="6EC96671"/>
    <w:multiLevelType w:val="hybridMultilevel"/>
    <w:tmpl w:val="936C060E"/>
    <w:styleLink w:val="ImportedStyle12"/>
    <w:lvl w:ilvl="0" w:tplc="8A86CF50">
      <w:start w:val="1"/>
      <w:numFmt w:val="lowerLetter"/>
      <w:suff w:val="nothing"/>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14FF96">
      <w:start w:val="1"/>
      <w:numFmt w:val="lowerLetter"/>
      <w:lvlText w:val="%2."/>
      <w:lvlJc w:val="left"/>
      <w:pPr>
        <w:tabs>
          <w:tab w:val="num" w:pos="1440"/>
        </w:tabs>
        <w:ind w:left="1678" w:hanging="598"/>
      </w:pPr>
      <w:rPr>
        <w:rFonts w:hAnsi="Arial Unicode MS"/>
        <w:caps w:val="0"/>
        <w:smallCaps w:val="0"/>
        <w:strike w:val="0"/>
        <w:dstrike w:val="0"/>
        <w:outline w:val="0"/>
        <w:emboss w:val="0"/>
        <w:imprint w:val="0"/>
        <w:spacing w:val="0"/>
        <w:w w:val="100"/>
        <w:kern w:val="0"/>
        <w:position w:val="0"/>
        <w:highlight w:val="none"/>
        <w:vertAlign w:val="baseline"/>
      </w:rPr>
    </w:lvl>
    <w:lvl w:ilvl="2" w:tplc="B82887C8">
      <w:start w:val="1"/>
      <w:numFmt w:val="lowerRoman"/>
      <w:lvlText w:val="%3."/>
      <w:lvlJc w:val="left"/>
      <w:pPr>
        <w:tabs>
          <w:tab w:val="num" w:pos="2160"/>
        </w:tabs>
        <w:ind w:left="2398"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6FE87614">
      <w:start w:val="1"/>
      <w:numFmt w:val="decimal"/>
      <w:lvlText w:val="%4."/>
      <w:lvlJc w:val="left"/>
      <w:pPr>
        <w:tabs>
          <w:tab w:val="num" w:pos="2880"/>
        </w:tabs>
        <w:ind w:left="3118" w:hanging="598"/>
      </w:pPr>
      <w:rPr>
        <w:rFonts w:hAnsi="Arial Unicode MS"/>
        <w:caps w:val="0"/>
        <w:smallCaps w:val="0"/>
        <w:strike w:val="0"/>
        <w:dstrike w:val="0"/>
        <w:outline w:val="0"/>
        <w:emboss w:val="0"/>
        <w:imprint w:val="0"/>
        <w:spacing w:val="0"/>
        <w:w w:val="100"/>
        <w:kern w:val="0"/>
        <w:position w:val="0"/>
        <w:highlight w:val="none"/>
        <w:vertAlign w:val="baseline"/>
      </w:rPr>
    </w:lvl>
    <w:lvl w:ilvl="4" w:tplc="828243C8">
      <w:start w:val="1"/>
      <w:numFmt w:val="lowerLetter"/>
      <w:lvlText w:val="%5."/>
      <w:lvlJc w:val="left"/>
      <w:pPr>
        <w:tabs>
          <w:tab w:val="num" w:pos="3600"/>
        </w:tabs>
        <w:ind w:left="3838" w:hanging="598"/>
      </w:pPr>
      <w:rPr>
        <w:rFonts w:hAnsi="Arial Unicode MS"/>
        <w:caps w:val="0"/>
        <w:smallCaps w:val="0"/>
        <w:strike w:val="0"/>
        <w:dstrike w:val="0"/>
        <w:outline w:val="0"/>
        <w:emboss w:val="0"/>
        <w:imprint w:val="0"/>
        <w:spacing w:val="0"/>
        <w:w w:val="100"/>
        <w:kern w:val="0"/>
        <w:position w:val="0"/>
        <w:highlight w:val="none"/>
        <w:vertAlign w:val="baseline"/>
      </w:rPr>
    </w:lvl>
    <w:lvl w:ilvl="5" w:tplc="D1986BCE">
      <w:start w:val="1"/>
      <w:numFmt w:val="lowerRoman"/>
      <w:lvlText w:val="%6."/>
      <w:lvlJc w:val="left"/>
      <w:pPr>
        <w:tabs>
          <w:tab w:val="num" w:pos="4320"/>
        </w:tabs>
        <w:ind w:left="4558"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21168E80">
      <w:start w:val="1"/>
      <w:numFmt w:val="decimal"/>
      <w:lvlText w:val="%7."/>
      <w:lvlJc w:val="left"/>
      <w:pPr>
        <w:tabs>
          <w:tab w:val="num" w:pos="5040"/>
        </w:tabs>
        <w:ind w:left="5278" w:hanging="598"/>
      </w:pPr>
      <w:rPr>
        <w:rFonts w:hAnsi="Arial Unicode MS"/>
        <w:caps w:val="0"/>
        <w:smallCaps w:val="0"/>
        <w:strike w:val="0"/>
        <w:dstrike w:val="0"/>
        <w:outline w:val="0"/>
        <w:emboss w:val="0"/>
        <w:imprint w:val="0"/>
        <w:spacing w:val="0"/>
        <w:w w:val="100"/>
        <w:kern w:val="0"/>
        <w:position w:val="0"/>
        <w:highlight w:val="none"/>
        <w:vertAlign w:val="baseline"/>
      </w:rPr>
    </w:lvl>
    <w:lvl w:ilvl="7" w:tplc="29BA3EF2">
      <w:start w:val="1"/>
      <w:numFmt w:val="lowerLetter"/>
      <w:lvlText w:val="%8."/>
      <w:lvlJc w:val="left"/>
      <w:pPr>
        <w:tabs>
          <w:tab w:val="num" w:pos="5760"/>
        </w:tabs>
        <w:ind w:left="5998" w:hanging="598"/>
      </w:pPr>
      <w:rPr>
        <w:rFonts w:hAnsi="Arial Unicode MS"/>
        <w:caps w:val="0"/>
        <w:smallCaps w:val="0"/>
        <w:strike w:val="0"/>
        <w:dstrike w:val="0"/>
        <w:outline w:val="0"/>
        <w:emboss w:val="0"/>
        <w:imprint w:val="0"/>
        <w:spacing w:val="0"/>
        <w:w w:val="100"/>
        <w:kern w:val="0"/>
        <w:position w:val="0"/>
        <w:highlight w:val="none"/>
        <w:vertAlign w:val="baseline"/>
      </w:rPr>
    </w:lvl>
    <w:lvl w:ilvl="8" w:tplc="263C50EA">
      <w:start w:val="1"/>
      <w:numFmt w:val="lowerRoman"/>
      <w:lvlText w:val="%9."/>
      <w:lvlJc w:val="left"/>
      <w:pPr>
        <w:tabs>
          <w:tab w:val="num" w:pos="6480"/>
        </w:tabs>
        <w:ind w:left="6718"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748F5D09"/>
    <w:multiLevelType w:val="hybridMultilevel"/>
    <w:tmpl w:val="585C1E94"/>
    <w:numStyleLink w:val="ImportedStyle8"/>
  </w:abstractNum>
  <w:abstractNum w:abstractNumId="39">
    <w:nsid w:val="758D6101"/>
    <w:multiLevelType w:val="hybridMultilevel"/>
    <w:tmpl w:val="5C4A1BAE"/>
    <w:styleLink w:val="ImportedStyle1"/>
    <w:lvl w:ilvl="0" w:tplc="3B48B850">
      <w:start w:val="1"/>
      <w:numFmt w:val="decimal"/>
      <w:suff w:val="nothing"/>
      <w:lvlText w:val="%1."/>
      <w:lvlJc w:val="left"/>
      <w:pPr>
        <w:tabs>
          <w:tab w:val="left" w:pos="720"/>
        </w:tabs>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647C7AEC">
      <w:start w:val="1"/>
      <w:numFmt w:val="lowerLetter"/>
      <w:lvlText w:val="%2."/>
      <w:lvlJc w:val="left"/>
      <w:pPr>
        <w:tabs>
          <w:tab w:val="left" w:pos="720"/>
          <w:tab w:val="num" w:pos="1800"/>
        </w:tabs>
        <w:ind w:left="1858" w:hanging="418"/>
      </w:pPr>
      <w:rPr>
        <w:rFonts w:hAnsi="Arial Unicode MS"/>
        <w:caps w:val="0"/>
        <w:smallCaps w:val="0"/>
        <w:strike w:val="0"/>
        <w:dstrike w:val="0"/>
        <w:outline w:val="0"/>
        <w:emboss w:val="0"/>
        <w:imprint w:val="0"/>
        <w:spacing w:val="0"/>
        <w:w w:val="100"/>
        <w:kern w:val="0"/>
        <w:position w:val="0"/>
        <w:highlight w:val="none"/>
        <w:vertAlign w:val="baseline"/>
      </w:rPr>
    </w:lvl>
    <w:lvl w:ilvl="2" w:tplc="1EE8EEBA">
      <w:start w:val="1"/>
      <w:numFmt w:val="lowerRoman"/>
      <w:lvlText w:val="%3."/>
      <w:lvlJc w:val="left"/>
      <w:pPr>
        <w:tabs>
          <w:tab w:val="left" w:pos="720"/>
          <w:tab w:val="num" w:pos="2520"/>
        </w:tabs>
        <w:ind w:left="257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37488E4">
      <w:start w:val="1"/>
      <w:numFmt w:val="decimal"/>
      <w:lvlText w:val="%4."/>
      <w:lvlJc w:val="left"/>
      <w:pPr>
        <w:tabs>
          <w:tab w:val="left" w:pos="720"/>
          <w:tab w:val="num" w:pos="3240"/>
        </w:tabs>
        <w:ind w:left="3298" w:hanging="418"/>
      </w:pPr>
      <w:rPr>
        <w:rFonts w:hAnsi="Arial Unicode MS"/>
        <w:caps w:val="0"/>
        <w:smallCaps w:val="0"/>
        <w:strike w:val="0"/>
        <w:dstrike w:val="0"/>
        <w:outline w:val="0"/>
        <w:emboss w:val="0"/>
        <w:imprint w:val="0"/>
        <w:spacing w:val="0"/>
        <w:w w:val="100"/>
        <w:kern w:val="0"/>
        <w:position w:val="0"/>
        <w:highlight w:val="none"/>
        <w:vertAlign w:val="baseline"/>
      </w:rPr>
    </w:lvl>
    <w:lvl w:ilvl="4" w:tplc="F66E8C12">
      <w:start w:val="1"/>
      <w:numFmt w:val="lowerLetter"/>
      <w:lvlText w:val="%5."/>
      <w:lvlJc w:val="left"/>
      <w:pPr>
        <w:tabs>
          <w:tab w:val="left" w:pos="720"/>
          <w:tab w:val="num" w:pos="3960"/>
        </w:tabs>
        <w:ind w:left="4018" w:hanging="418"/>
      </w:pPr>
      <w:rPr>
        <w:rFonts w:hAnsi="Arial Unicode MS"/>
        <w:caps w:val="0"/>
        <w:smallCaps w:val="0"/>
        <w:strike w:val="0"/>
        <w:dstrike w:val="0"/>
        <w:outline w:val="0"/>
        <w:emboss w:val="0"/>
        <w:imprint w:val="0"/>
        <w:spacing w:val="0"/>
        <w:w w:val="100"/>
        <w:kern w:val="0"/>
        <w:position w:val="0"/>
        <w:highlight w:val="none"/>
        <w:vertAlign w:val="baseline"/>
      </w:rPr>
    </w:lvl>
    <w:lvl w:ilvl="5" w:tplc="F4B2F4C0">
      <w:start w:val="1"/>
      <w:numFmt w:val="lowerRoman"/>
      <w:lvlText w:val="%6."/>
      <w:lvlJc w:val="left"/>
      <w:pPr>
        <w:tabs>
          <w:tab w:val="left" w:pos="720"/>
          <w:tab w:val="num" w:pos="4680"/>
        </w:tabs>
        <w:ind w:left="4738"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BEEBEC">
      <w:start w:val="1"/>
      <w:numFmt w:val="decimal"/>
      <w:lvlText w:val="%7."/>
      <w:lvlJc w:val="left"/>
      <w:pPr>
        <w:tabs>
          <w:tab w:val="left" w:pos="720"/>
          <w:tab w:val="num" w:pos="5400"/>
        </w:tabs>
        <w:ind w:left="5458" w:hanging="418"/>
      </w:pPr>
      <w:rPr>
        <w:rFonts w:hAnsi="Arial Unicode MS"/>
        <w:caps w:val="0"/>
        <w:smallCaps w:val="0"/>
        <w:strike w:val="0"/>
        <w:dstrike w:val="0"/>
        <w:outline w:val="0"/>
        <w:emboss w:val="0"/>
        <w:imprint w:val="0"/>
        <w:spacing w:val="0"/>
        <w:w w:val="100"/>
        <w:kern w:val="0"/>
        <w:position w:val="0"/>
        <w:highlight w:val="none"/>
        <w:vertAlign w:val="baseline"/>
      </w:rPr>
    </w:lvl>
    <w:lvl w:ilvl="7" w:tplc="4F48E1A8">
      <w:start w:val="1"/>
      <w:numFmt w:val="lowerLetter"/>
      <w:lvlText w:val="%8."/>
      <w:lvlJc w:val="left"/>
      <w:pPr>
        <w:tabs>
          <w:tab w:val="left" w:pos="720"/>
          <w:tab w:val="num" w:pos="6120"/>
        </w:tabs>
        <w:ind w:left="6178" w:hanging="418"/>
      </w:pPr>
      <w:rPr>
        <w:rFonts w:hAnsi="Arial Unicode MS"/>
        <w:caps w:val="0"/>
        <w:smallCaps w:val="0"/>
        <w:strike w:val="0"/>
        <w:dstrike w:val="0"/>
        <w:outline w:val="0"/>
        <w:emboss w:val="0"/>
        <w:imprint w:val="0"/>
        <w:spacing w:val="0"/>
        <w:w w:val="100"/>
        <w:kern w:val="0"/>
        <w:position w:val="0"/>
        <w:highlight w:val="none"/>
        <w:vertAlign w:val="baseline"/>
      </w:rPr>
    </w:lvl>
    <w:lvl w:ilvl="8" w:tplc="AF5608CE">
      <w:start w:val="1"/>
      <w:numFmt w:val="lowerRoman"/>
      <w:lvlText w:val="%9."/>
      <w:lvlJc w:val="left"/>
      <w:pPr>
        <w:tabs>
          <w:tab w:val="left" w:pos="720"/>
          <w:tab w:val="num" w:pos="6840"/>
        </w:tabs>
        <w:ind w:left="6898"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7A695DDC"/>
    <w:multiLevelType w:val="hybridMultilevel"/>
    <w:tmpl w:val="52CE2A0A"/>
    <w:numStyleLink w:val="ImportedStyle7"/>
  </w:abstractNum>
  <w:abstractNum w:abstractNumId="41">
    <w:nsid w:val="7C022F8E"/>
    <w:multiLevelType w:val="hybridMultilevel"/>
    <w:tmpl w:val="5C4A1BAE"/>
    <w:numStyleLink w:val="ImportedStyle1"/>
  </w:abstractNum>
  <w:abstractNum w:abstractNumId="42">
    <w:nsid w:val="7D8523A4"/>
    <w:multiLevelType w:val="hybridMultilevel"/>
    <w:tmpl w:val="8A1004DC"/>
    <w:numStyleLink w:val="ImportedStyle3"/>
  </w:abstractNum>
  <w:abstractNum w:abstractNumId="43">
    <w:nsid w:val="7FD60C70"/>
    <w:multiLevelType w:val="hybridMultilevel"/>
    <w:tmpl w:val="0F7C8C90"/>
    <w:numStyleLink w:val="ImportedStyle20"/>
  </w:abstractNum>
  <w:num w:numId="1">
    <w:abstractNumId w:val="39"/>
  </w:num>
  <w:num w:numId="2">
    <w:abstractNumId w:val="41"/>
  </w:num>
  <w:num w:numId="3">
    <w:abstractNumId w:val="41"/>
    <w:lvlOverride w:ilvl="0">
      <w:lvl w:ilvl="0" w:tplc="11427CFE">
        <w:start w:val="1"/>
        <w:numFmt w:val="decimal"/>
        <w:suff w:val="nothing"/>
        <w:lvlText w:val="%1."/>
        <w:lvlJc w:val="left"/>
        <w:pPr>
          <w:ind w:left="63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7E01AA4">
        <w:start w:val="1"/>
        <w:numFmt w:val="lowerLetter"/>
        <w:lvlText w:val="%2."/>
        <w:lvlJc w:val="left"/>
        <w:pPr>
          <w:tabs>
            <w:tab w:val="num" w:pos="1800"/>
          </w:tabs>
          <w:ind w:left="1948" w:hanging="5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5287F9E">
        <w:start w:val="1"/>
        <w:numFmt w:val="lowerRoman"/>
        <w:lvlText w:val="%3."/>
        <w:lvlJc w:val="left"/>
        <w:pPr>
          <w:tabs>
            <w:tab w:val="num" w:pos="2520"/>
          </w:tabs>
          <w:ind w:left="2668"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0B81220">
        <w:start w:val="1"/>
        <w:numFmt w:val="decimal"/>
        <w:lvlText w:val="%4."/>
        <w:lvlJc w:val="left"/>
        <w:pPr>
          <w:tabs>
            <w:tab w:val="num" w:pos="3240"/>
          </w:tabs>
          <w:ind w:left="3388" w:hanging="5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1A442BE">
        <w:start w:val="1"/>
        <w:numFmt w:val="lowerLetter"/>
        <w:lvlText w:val="%5."/>
        <w:lvlJc w:val="left"/>
        <w:pPr>
          <w:tabs>
            <w:tab w:val="num" w:pos="3960"/>
          </w:tabs>
          <w:ind w:left="4108" w:hanging="5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B808A12">
        <w:start w:val="1"/>
        <w:numFmt w:val="lowerRoman"/>
        <w:lvlText w:val="%6."/>
        <w:lvlJc w:val="left"/>
        <w:pPr>
          <w:tabs>
            <w:tab w:val="num" w:pos="4680"/>
          </w:tabs>
          <w:ind w:left="4828"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EAE0226">
        <w:start w:val="1"/>
        <w:numFmt w:val="decimal"/>
        <w:lvlText w:val="%7."/>
        <w:lvlJc w:val="left"/>
        <w:pPr>
          <w:tabs>
            <w:tab w:val="num" w:pos="5400"/>
          </w:tabs>
          <w:ind w:left="5548" w:hanging="5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AAE7D88">
        <w:start w:val="1"/>
        <w:numFmt w:val="lowerLetter"/>
        <w:lvlText w:val="%8."/>
        <w:lvlJc w:val="left"/>
        <w:pPr>
          <w:tabs>
            <w:tab w:val="num" w:pos="6120"/>
          </w:tabs>
          <w:ind w:left="6268" w:hanging="5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D46E662">
        <w:start w:val="1"/>
        <w:numFmt w:val="lowerRoman"/>
        <w:lvlText w:val="%9."/>
        <w:lvlJc w:val="left"/>
        <w:pPr>
          <w:tabs>
            <w:tab w:val="num" w:pos="6840"/>
          </w:tabs>
          <w:ind w:left="6988" w:hanging="4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41"/>
    <w:lvlOverride w:ilvl="0">
      <w:lvl w:ilvl="0" w:tplc="11427CFE">
        <w:start w:val="1"/>
        <w:numFmt w:val="decimal"/>
        <w:suff w:val="nothing"/>
        <w:lvlText w:val="%1."/>
        <w:lvlJc w:val="left"/>
        <w:pPr>
          <w:tabs>
            <w:tab w:val="left" w:pos="720"/>
          </w:tabs>
          <w:ind w:left="63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7E01AA4">
        <w:start w:val="1"/>
        <w:numFmt w:val="lowerLetter"/>
        <w:lvlText w:val="%2."/>
        <w:lvlJc w:val="left"/>
        <w:pPr>
          <w:tabs>
            <w:tab w:val="left" w:pos="720"/>
            <w:tab w:val="num" w:pos="1800"/>
          </w:tabs>
          <w:ind w:left="1948" w:hanging="5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5287F9E">
        <w:start w:val="1"/>
        <w:numFmt w:val="lowerRoman"/>
        <w:lvlText w:val="%3."/>
        <w:lvlJc w:val="left"/>
        <w:pPr>
          <w:tabs>
            <w:tab w:val="left" w:pos="720"/>
            <w:tab w:val="num" w:pos="2520"/>
          </w:tabs>
          <w:ind w:left="2668"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0B81220">
        <w:start w:val="1"/>
        <w:numFmt w:val="decimal"/>
        <w:lvlText w:val="%4."/>
        <w:lvlJc w:val="left"/>
        <w:pPr>
          <w:tabs>
            <w:tab w:val="left" w:pos="720"/>
            <w:tab w:val="num" w:pos="3240"/>
          </w:tabs>
          <w:ind w:left="3388" w:hanging="5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1A442BE">
        <w:start w:val="1"/>
        <w:numFmt w:val="lowerLetter"/>
        <w:lvlText w:val="%5."/>
        <w:lvlJc w:val="left"/>
        <w:pPr>
          <w:tabs>
            <w:tab w:val="left" w:pos="720"/>
            <w:tab w:val="num" w:pos="3960"/>
          </w:tabs>
          <w:ind w:left="4108" w:hanging="5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B808A12">
        <w:start w:val="1"/>
        <w:numFmt w:val="lowerRoman"/>
        <w:lvlText w:val="%6."/>
        <w:lvlJc w:val="left"/>
        <w:pPr>
          <w:tabs>
            <w:tab w:val="left" w:pos="720"/>
            <w:tab w:val="num" w:pos="4680"/>
          </w:tabs>
          <w:ind w:left="4828"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EAE0226">
        <w:start w:val="1"/>
        <w:numFmt w:val="decimal"/>
        <w:lvlText w:val="%7."/>
        <w:lvlJc w:val="left"/>
        <w:pPr>
          <w:tabs>
            <w:tab w:val="left" w:pos="720"/>
            <w:tab w:val="num" w:pos="5400"/>
          </w:tabs>
          <w:ind w:left="5548" w:hanging="5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AAE7D88">
        <w:start w:val="1"/>
        <w:numFmt w:val="lowerLetter"/>
        <w:lvlText w:val="%8."/>
        <w:lvlJc w:val="left"/>
        <w:pPr>
          <w:tabs>
            <w:tab w:val="left" w:pos="720"/>
            <w:tab w:val="num" w:pos="6120"/>
          </w:tabs>
          <w:ind w:left="6268" w:hanging="5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D46E662">
        <w:start w:val="1"/>
        <w:numFmt w:val="lowerRoman"/>
        <w:lvlText w:val="%9."/>
        <w:lvlJc w:val="left"/>
        <w:pPr>
          <w:tabs>
            <w:tab w:val="left" w:pos="720"/>
            <w:tab w:val="num" w:pos="6840"/>
          </w:tabs>
          <w:ind w:left="6988" w:hanging="4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9"/>
  </w:num>
  <w:num w:numId="6">
    <w:abstractNumId w:val="2"/>
  </w:num>
  <w:num w:numId="7">
    <w:abstractNumId w:val="20"/>
  </w:num>
  <w:num w:numId="8">
    <w:abstractNumId w:val="42"/>
  </w:num>
  <w:num w:numId="9">
    <w:abstractNumId w:val="30"/>
  </w:num>
  <w:num w:numId="10">
    <w:abstractNumId w:val="35"/>
  </w:num>
  <w:num w:numId="11">
    <w:abstractNumId w:val="11"/>
  </w:num>
  <w:num w:numId="12">
    <w:abstractNumId w:val="8"/>
  </w:num>
  <w:num w:numId="13">
    <w:abstractNumId w:val="12"/>
  </w:num>
  <w:num w:numId="14">
    <w:abstractNumId w:val="14"/>
  </w:num>
  <w:num w:numId="15">
    <w:abstractNumId w:val="27"/>
  </w:num>
  <w:num w:numId="16">
    <w:abstractNumId w:val="0"/>
  </w:num>
  <w:num w:numId="17">
    <w:abstractNumId w:val="25"/>
  </w:num>
  <w:num w:numId="18">
    <w:abstractNumId w:val="17"/>
  </w:num>
  <w:num w:numId="19">
    <w:abstractNumId w:val="37"/>
  </w:num>
  <w:num w:numId="20">
    <w:abstractNumId w:val="16"/>
  </w:num>
  <w:num w:numId="21">
    <w:abstractNumId w:val="10"/>
  </w:num>
  <w:num w:numId="22">
    <w:abstractNumId w:val="22"/>
  </w:num>
  <w:num w:numId="23">
    <w:abstractNumId w:val="33"/>
  </w:num>
  <w:num w:numId="24">
    <w:abstractNumId w:val="1"/>
  </w:num>
  <w:num w:numId="25">
    <w:abstractNumId w:val="34"/>
  </w:num>
  <w:num w:numId="26">
    <w:abstractNumId w:val="5"/>
  </w:num>
  <w:num w:numId="27">
    <w:abstractNumId w:val="31"/>
  </w:num>
  <w:num w:numId="28">
    <w:abstractNumId w:val="28"/>
  </w:num>
  <w:num w:numId="29">
    <w:abstractNumId w:val="15"/>
  </w:num>
  <w:num w:numId="30">
    <w:abstractNumId w:val="4"/>
  </w:num>
  <w:num w:numId="31">
    <w:abstractNumId w:val="40"/>
  </w:num>
  <w:num w:numId="32">
    <w:abstractNumId w:val="38"/>
  </w:num>
  <w:num w:numId="33">
    <w:abstractNumId w:val="7"/>
  </w:num>
  <w:num w:numId="34">
    <w:abstractNumId w:val="18"/>
  </w:num>
  <w:num w:numId="35">
    <w:abstractNumId w:val="13"/>
  </w:num>
  <w:num w:numId="36">
    <w:abstractNumId w:val="36"/>
  </w:num>
  <w:num w:numId="37">
    <w:abstractNumId w:val="21"/>
  </w:num>
  <w:num w:numId="38">
    <w:abstractNumId w:val="36"/>
    <w:lvlOverride w:ilvl="0">
      <w:startOverride w:val="2"/>
    </w:lvlOverride>
  </w:num>
  <w:num w:numId="39">
    <w:abstractNumId w:val="23"/>
  </w:num>
  <w:num w:numId="40">
    <w:abstractNumId w:val="19"/>
  </w:num>
  <w:num w:numId="41">
    <w:abstractNumId w:val="26"/>
  </w:num>
  <w:num w:numId="42">
    <w:abstractNumId w:val="3"/>
  </w:num>
  <w:num w:numId="43">
    <w:abstractNumId w:val="6"/>
  </w:num>
  <w:num w:numId="44">
    <w:abstractNumId w:val="29"/>
  </w:num>
  <w:num w:numId="45">
    <w:abstractNumId w:val="6"/>
    <w:lvlOverride w:ilvl="0">
      <w:startOverride w:val="2"/>
    </w:lvlOverride>
  </w:num>
  <w:num w:numId="46">
    <w:abstractNumId w:val="43"/>
  </w:num>
  <w:num w:numId="47">
    <w:abstractNumId w:val="6"/>
    <w:lvlOverride w:ilvl="0">
      <w:startOverride w:val="3"/>
    </w:lvlOverride>
  </w:num>
  <w:num w:numId="48">
    <w:abstractNumId w:val="24"/>
  </w:num>
  <w:num w:numId="49">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E4"/>
    <w:rsid w:val="00034E24"/>
    <w:rsid w:val="002F2CE0"/>
    <w:rsid w:val="00480A2C"/>
    <w:rsid w:val="004A6B78"/>
    <w:rsid w:val="00996BE4"/>
    <w:rsid w:val="00A16A1C"/>
    <w:rsid w:val="00BC38C1"/>
    <w:rsid w:val="00CC6AF2"/>
    <w:rsid w:val="00E60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923B30-8236-4337-9D77-F5500268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left" w:pos="540"/>
        <w:tab w:val="center" w:pos="4680"/>
        <w:tab w:val="right" w:pos="9360"/>
      </w:tabs>
      <w:spacing w:line="300" w:lineRule="exact"/>
      <w:ind w:left="360"/>
    </w:pPr>
    <w:rPr>
      <w:rFonts w:ascii="Arial" w:hAnsi="Arial" w:cs="Arial Unicode MS"/>
      <w:color w:val="000000"/>
      <w:sz w:val="22"/>
      <w:szCs w:val="22"/>
      <w:u w:color="000000"/>
    </w:rPr>
  </w:style>
  <w:style w:type="paragraph" w:customStyle="1" w:styleId="Chapternumber">
    <w:name w:val="Chapter number"/>
    <w:next w:val="BodyA"/>
    <w:pPr>
      <w:keepNext/>
      <w:tabs>
        <w:tab w:val="left" w:pos="540"/>
      </w:tabs>
      <w:spacing w:line="520" w:lineRule="exact"/>
      <w:ind w:left="360"/>
      <w:jc w:val="center"/>
    </w:pPr>
    <w:rPr>
      <w:rFonts w:ascii="Arial" w:hAnsi="Arial" w:cs="Arial Unicode MS"/>
      <w:b/>
      <w:bCs/>
      <w:color w:val="000000"/>
      <w:sz w:val="48"/>
      <w:szCs w:val="48"/>
      <w:u w:color="000000"/>
    </w:rPr>
  </w:style>
  <w:style w:type="paragraph" w:customStyle="1" w:styleId="BodyA">
    <w:name w:val="Body A"/>
    <w:pPr>
      <w:tabs>
        <w:tab w:val="left" w:pos="540"/>
      </w:tabs>
      <w:spacing w:line="300" w:lineRule="exact"/>
      <w:ind w:left="360"/>
    </w:pPr>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customStyle="1" w:styleId="Chaptertitle">
    <w:name w:val="Chapter title"/>
    <w:next w:val="BodyA"/>
    <w:pPr>
      <w:tabs>
        <w:tab w:val="left" w:pos="540"/>
      </w:tabs>
      <w:spacing w:before="120" w:line="400" w:lineRule="exact"/>
      <w:ind w:left="360"/>
      <w:jc w:val="center"/>
    </w:pPr>
    <w:rPr>
      <w:rFonts w:ascii="Arial" w:hAnsi="Arial" w:cs="Arial Unicode MS"/>
      <w:b/>
      <w:bCs/>
      <w:color w:val="000000"/>
      <w:sz w:val="36"/>
      <w:szCs w:val="36"/>
      <w:u w:color="000000"/>
    </w:rPr>
  </w:style>
  <w:style w:type="paragraph" w:customStyle="1" w:styleId="1Head">
    <w:name w:val="#1 Head"/>
    <w:next w:val="BodyA"/>
    <w:pPr>
      <w:tabs>
        <w:tab w:val="left" w:pos="540"/>
      </w:tabs>
      <w:spacing w:before="120" w:line="320" w:lineRule="exact"/>
      <w:ind w:left="360"/>
      <w:outlineLvl w:val="0"/>
    </w:pPr>
    <w:rPr>
      <w:rFonts w:ascii="Arial" w:eastAsia="Arial" w:hAnsi="Arial" w:cs="Arial"/>
      <w:b/>
      <w:bCs/>
      <w:color w:val="000000"/>
      <w:sz w:val="28"/>
      <w:szCs w:val="28"/>
      <w:u w:color="000000"/>
    </w:rPr>
  </w:style>
  <w:style w:type="paragraph" w:styleId="ListParagraph">
    <w:name w:val="List Paragraph"/>
    <w:pPr>
      <w:tabs>
        <w:tab w:val="left" w:pos="540"/>
      </w:tabs>
      <w:spacing w:line="300" w:lineRule="exact"/>
      <w:ind w:left="720"/>
    </w:pPr>
    <w:rPr>
      <w:rFonts w:ascii="Arial" w:hAnsi="Arial" w:cs="Arial Unicode MS"/>
      <w:color w:val="000000"/>
      <w:sz w:val="22"/>
      <w:szCs w:val="22"/>
      <w:u w:color="000000"/>
    </w:rPr>
  </w:style>
  <w:style w:type="numbering" w:customStyle="1" w:styleId="ImportedStyle1">
    <w:name w:val="Imported Style 1"/>
    <w:pPr>
      <w:numPr>
        <w:numId w:val="1"/>
      </w:numPr>
    </w:pPr>
  </w:style>
  <w:style w:type="paragraph" w:customStyle="1" w:styleId="2Head">
    <w:name w:val="#2 Head"/>
    <w:next w:val="BodyA"/>
    <w:pPr>
      <w:tabs>
        <w:tab w:val="left" w:pos="540"/>
      </w:tabs>
      <w:spacing w:line="400" w:lineRule="exact"/>
      <w:ind w:left="360"/>
      <w:jc w:val="center"/>
      <w:outlineLvl w:val="0"/>
    </w:pPr>
    <w:rPr>
      <w:rFonts w:ascii="Arial" w:hAnsi="Arial" w:cs="Arial Unicode MS"/>
      <w:b/>
      <w:bCs/>
      <w:color w:val="000000"/>
      <w:sz w:val="36"/>
      <w:szCs w:val="36"/>
      <w:u w:color="000000"/>
    </w:r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ImportedStyle7">
    <w:name w:val="Imported Style 7"/>
    <w:pPr>
      <w:numPr>
        <w:numId w:val="14"/>
      </w:numPr>
    </w:pPr>
  </w:style>
  <w:style w:type="numbering" w:customStyle="1" w:styleId="ImportedStyle8">
    <w:name w:val="Imported Style 8"/>
    <w:pPr>
      <w:numPr>
        <w:numId w:val="15"/>
      </w:numPr>
    </w:pPr>
  </w:style>
  <w:style w:type="numbering" w:customStyle="1" w:styleId="ImportedStyle9">
    <w:name w:val="Imported Style 9"/>
    <w:pPr>
      <w:numPr>
        <w:numId w:val="16"/>
      </w:numPr>
    </w:pPr>
  </w:style>
  <w:style w:type="numbering" w:customStyle="1" w:styleId="ImportedStyle10">
    <w:name w:val="Imported Style 10"/>
    <w:pPr>
      <w:numPr>
        <w:numId w:val="17"/>
      </w:numPr>
    </w:pPr>
  </w:style>
  <w:style w:type="numbering" w:customStyle="1" w:styleId="ImportedStyle11">
    <w:name w:val="Imported Style 11"/>
    <w:pPr>
      <w:numPr>
        <w:numId w:val="18"/>
      </w:numPr>
    </w:pPr>
  </w:style>
  <w:style w:type="numbering" w:customStyle="1" w:styleId="ImportedStyle12">
    <w:name w:val="Imported Style 12"/>
    <w:pPr>
      <w:numPr>
        <w:numId w:val="19"/>
      </w:numPr>
    </w:pPr>
  </w:style>
  <w:style w:type="numbering" w:customStyle="1" w:styleId="ImportedStyle13">
    <w:name w:val="Imported Style 13"/>
    <w:pPr>
      <w:numPr>
        <w:numId w:val="20"/>
      </w:numPr>
    </w:pPr>
  </w:style>
  <w:style w:type="numbering" w:customStyle="1" w:styleId="ImportedStyle14">
    <w:name w:val="Imported Style 14"/>
    <w:pPr>
      <w:numPr>
        <w:numId w:val="21"/>
      </w:numPr>
    </w:pPr>
  </w:style>
  <w:style w:type="numbering" w:customStyle="1" w:styleId="ImportedStyle15">
    <w:name w:val="Imported Style 15"/>
    <w:pPr>
      <w:numPr>
        <w:numId w:val="22"/>
      </w:numPr>
    </w:pPr>
  </w:style>
  <w:style w:type="numbering" w:customStyle="1" w:styleId="ImportedStyle16">
    <w:name w:val="Imported Style 16"/>
    <w:pPr>
      <w:numPr>
        <w:numId w:val="23"/>
      </w:numPr>
    </w:pPr>
  </w:style>
  <w:style w:type="numbering" w:customStyle="1" w:styleId="ImportedStyle17">
    <w:name w:val="Imported Style 17"/>
    <w:pPr>
      <w:numPr>
        <w:numId w:val="24"/>
      </w:numPr>
    </w:pPr>
  </w:style>
  <w:style w:type="numbering" w:customStyle="1" w:styleId="ImportedStyle18">
    <w:name w:val="Imported Style 18"/>
    <w:pPr>
      <w:numPr>
        <w:numId w:val="25"/>
      </w:numPr>
    </w:pPr>
  </w:style>
  <w:style w:type="numbering" w:customStyle="1" w:styleId="ImportedStyle19">
    <w:name w:val="Imported Style 19"/>
    <w:pPr>
      <w:numPr>
        <w:numId w:val="26"/>
      </w:numPr>
    </w:pPr>
  </w:style>
  <w:style w:type="numbering" w:customStyle="1" w:styleId="ImportedStyle20">
    <w:name w:val="Imported Style 20"/>
    <w:pPr>
      <w:numPr>
        <w:numId w:val="27"/>
      </w:numPr>
    </w:pPr>
  </w:style>
  <w:style w:type="numbering" w:customStyle="1" w:styleId="ImportedStyle21">
    <w:name w:val="Imported Style 21"/>
    <w:pPr>
      <w:numPr>
        <w:numId w:val="28"/>
      </w:numPr>
    </w:pPr>
  </w:style>
  <w:style w:type="numbering" w:customStyle="1" w:styleId="ImportedStyle22">
    <w:name w:val="Imported Style 22"/>
    <w:pPr>
      <w:numPr>
        <w:numId w:val="29"/>
      </w:numPr>
    </w:pPr>
  </w:style>
  <w:style w:type="paragraph" w:styleId="Header">
    <w:name w:val="header"/>
    <w:basedOn w:val="Normal"/>
    <w:link w:val="HeaderChar"/>
    <w:uiPriority w:val="99"/>
    <w:unhideWhenUsed/>
    <w:rsid w:val="00BC38C1"/>
    <w:pPr>
      <w:tabs>
        <w:tab w:val="center" w:pos="4680"/>
        <w:tab w:val="right" w:pos="9360"/>
      </w:tabs>
    </w:pPr>
  </w:style>
  <w:style w:type="character" w:customStyle="1" w:styleId="HeaderChar">
    <w:name w:val="Header Char"/>
    <w:basedOn w:val="DefaultParagraphFont"/>
    <w:link w:val="Header"/>
    <w:uiPriority w:val="99"/>
    <w:rsid w:val="00BC38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CACF5F3F13B247B06250795458894C" ma:contentTypeVersion="10" ma:contentTypeDescription="Create a new document." ma:contentTypeScope="" ma:versionID="563299740a56ba73fcc9cd7bdce8dea9">
  <xsd:schema xmlns:xsd="http://www.w3.org/2001/XMLSchema" xmlns:xs="http://www.w3.org/2001/XMLSchema" xmlns:p="http://schemas.microsoft.com/office/2006/metadata/properties" xmlns:ns2="2e95c3ac-1f75-4b17-bf30-adf790eb8344" targetNamespace="http://schemas.microsoft.com/office/2006/metadata/properties" ma:root="true" ma:fieldsID="b7293079342833e69ff8b193f00904f1" ns2:_="">
    <xsd:import namespace="2e95c3ac-1f75-4b17-bf30-adf790eb8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5c3ac-1f75-4b17-bf30-adf790eb8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1335F5-1E35-400C-BB07-0F260ED1C87F}">
  <ds:schemaRefs>
    <ds:schemaRef ds:uri="http://schemas.microsoft.com/sharepoint/v3/contenttype/forms"/>
  </ds:schemaRefs>
</ds:datastoreItem>
</file>

<file path=customXml/itemProps2.xml><?xml version="1.0" encoding="utf-8"?>
<ds:datastoreItem xmlns:ds="http://schemas.openxmlformats.org/officeDocument/2006/customXml" ds:itemID="{DFC3C670-0798-4EF7-ACDD-940F3CC7EF67}"/>
</file>

<file path=customXml/itemProps3.xml><?xml version="1.0" encoding="utf-8"?>
<ds:datastoreItem xmlns:ds="http://schemas.openxmlformats.org/officeDocument/2006/customXml" ds:itemID="{290563BB-ACD0-43BE-BAD2-48A09943A9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7175</Words>
  <Characters>40900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2021-08-25T05:12:00Z</cp:lastPrinted>
  <dcterms:created xsi:type="dcterms:W3CDTF">2021-08-25T04:26:00Z</dcterms:created>
  <dcterms:modified xsi:type="dcterms:W3CDTF">2021-08-25T05:13:00Z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0x010100B2CACF5F3F13B247B06250795458894C</vt:lpwstr>
  </property>
</Properties>
</file>