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10E" w:rsidRPr="00E24DB0" w:rsidRDefault="007D743E" w:rsidP="001B5162">
      <w:pPr>
        <w:jc w:val="center"/>
        <w:rPr>
          <w:b/>
        </w:rPr>
      </w:pPr>
      <w:r w:rsidRPr="007D743E">
        <w:rPr>
          <w:b/>
        </w:rPr>
        <w:t>Chapter 1: An Introduction to Finance</w:t>
      </w:r>
    </w:p>
    <w:p w:rsidR="0007410E" w:rsidRPr="00E24DB0" w:rsidRDefault="0007410E" w:rsidP="001B5162">
      <w:pPr>
        <w:jc w:val="center"/>
        <w:rPr>
          <w:b/>
        </w:rPr>
      </w:pPr>
    </w:p>
    <w:p w:rsidR="0007410E" w:rsidRPr="00E24DB0" w:rsidRDefault="007D743E" w:rsidP="001B5162">
      <w:pPr>
        <w:rPr>
          <w:b/>
        </w:rPr>
      </w:pPr>
      <w:r>
        <w:rPr>
          <w:b/>
        </w:rPr>
        <w:t>Multiple Choice Questions</w:t>
      </w:r>
    </w:p>
    <w:p w:rsidR="00F03D90" w:rsidRPr="00E24DB0" w:rsidRDefault="007D743E" w:rsidP="001B5162">
      <w:r>
        <w:t xml:space="preserve">1. </w:t>
      </w:r>
      <w:r w:rsidR="00AD58FD">
        <w:t xml:space="preserve">Section: </w:t>
      </w:r>
      <w:r>
        <w:t>1.1 Real versus Financial Assets</w:t>
      </w:r>
    </w:p>
    <w:p w:rsidR="00F03D90" w:rsidRPr="00E24DB0" w:rsidRDefault="007D743E" w:rsidP="001B5162">
      <w:pPr>
        <w:tabs>
          <w:tab w:val="left" w:pos="360"/>
        </w:tabs>
      </w:pPr>
      <w:r>
        <w:t>Learning objective: 1.2</w:t>
      </w:r>
    </w:p>
    <w:p w:rsidR="00F03D90" w:rsidRPr="00E24DB0" w:rsidRDefault="00E24DB0" w:rsidP="001B5162">
      <w:pPr>
        <w:tabs>
          <w:tab w:val="left" w:pos="360"/>
        </w:tabs>
      </w:pPr>
      <w:r>
        <w:t>Level of Difficulty</w:t>
      </w:r>
      <w:r w:rsidR="007D743E">
        <w:t>: Easy</w:t>
      </w:r>
    </w:p>
    <w:p w:rsidR="000601C4" w:rsidRPr="00E24DB0" w:rsidRDefault="007D743E" w:rsidP="001B5162">
      <w:pPr>
        <w:tabs>
          <w:tab w:val="left" w:pos="360"/>
        </w:tabs>
      </w:pPr>
      <w:r>
        <w:t>Solution: B</w:t>
      </w:r>
    </w:p>
    <w:p w:rsidR="000601C4" w:rsidRPr="00E24DB0" w:rsidRDefault="000601C4" w:rsidP="001B5162"/>
    <w:p w:rsidR="00F03D90" w:rsidRPr="00E24DB0" w:rsidRDefault="007D743E" w:rsidP="001B5162">
      <w:r>
        <w:rPr>
          <w:lang w:val="en-US"/>
        </w:rPr>
        <w:t xml:space="preserve">2. </w:t>
      </w:r>
      <w:r w:rsidR="00AD58FD">
        <w:t xml:space="preserve">Section: </w:t>
      </w:r>
      <w:r>
        <w:t>1.1 Real versus Financial Assets</w:t>
      </w:r>
    </w:p>
    <w:p w:rsidR="00F03D90" w:rsidRPr="00E24DB0" w:rsidRDefault="007D743E" w:rsidP="001B5162">
      <w:pPr>
        <w:tabs>
          <w:tab w:val="left" w:pos="360"/>
        </w:tabs>
      </w:pPr>
      <w:r>
        <w:t>Learning objective: 1.2</w:t>
      </w:r>
    </w:p>
    <w:p w:rsidR="00F03D90" w:rsidRPr="00E24DB0" w:rsidRDefault="00E24DB0" w:rsidP="001B5162">
      <w:pPr>
        <w:tabs>
          <w:tab w:val="left" w:pos="360"/>
        </w:tabs>
      </w:pPr>
      <w:r>
        <w:t>Level of Difficulty</w:t>
      </w:r>
      <w:r w:rsidR="007D743E">
        <w:t>: Medium</w:t>
      </w:r>
    </w:p>
    <w:p w:rsidR="00F03D90" w:rsidRPr="00E24DB0" w:rsidRDefault="007D743E" w:rsidP="001B5162">
      <w:pPr>
        <w:tabs>
          <w:tab w:val="left" w:pos="360"/>
        </w:tabs>
      </w:pPr>
      <w:r>
        <w:t>Solution: C</w:t>
      </w:r>
    </w:p>
    <w:p w:rsidR="0007410E" w:rsidRPr="00E24DB0" w:rsidRDefault="007D743E" w:rsidP="001B5162">
      <w:r>
        <w:t>Net worth = Assets – Debts. Examples of real assets are residential structures, non-residential structures, machinery and equipment, durables, inventories, and land.</w:t>
      </w:r>
    </w:p>
    <w:p w:rsidR="007E77EC" w:rsidRPr="00E24DB0" w:rsidRDefault="007E77EC" w:rsidP="001B5162"/>
    <w:p w:rsidR="001B5162" w:rsidRPr="00E24DB0" w:rsidRDefault="007D743E" w:rsidP="001B5162">
      <w:r>
        <w:t xml:space="preserve">3. </w:t>
      </w:r>
      <w:r w:rsidR="00AD58FD">
        <w:t xml:space="preserve">Section: </w:t>
      </w:r>
      <w:r>
        <w:t>1.2 The Financial System</w:t>
      </w:r>
    </w:p>
    <w:p w:rsidR="00F03D90" w:rsidRPr="00E24DB0" w:rsidRDefault="007D743E" w:rsidP="001B5162">
      <w:pPr>
        <w:tabs>
          <w:tab w:val="left" w:pos="360"/>
        </w:tabs>
      </w:pPr>
      <w:r>
        <w:t>Learning objective: 1.3</w:t>
      </w:r>
    </w:p>
    <w:p w:rsidR="00F03D90" w:rsidRPr="00E24DB0" w:rsidRDefault="00E24DB0" w:rsidP="001B5162">
      <w:pPr>
        <w:tabs>
          <w:tab w:val="left" w:pos="360"/>
        </w:tabs>
      </w:pPr>
      <w:r>
        <w:t>Level of Difficulty</w:t>
      </w:r>
      <w:r w:rsidR="007D743E">
        <w:t>: Easy</w:t>
      </w:r>
    </w:p>
    <w:p w:rsidR="00F03D90" w:rsidRPr="00E24DB0" w:rsidRDefault="007D743E" w:rsidP="001B5162">
      <w:pPr>
        <w:tabs>
          <w:tab w:val="left" w:pos="360"/>
        </w:tabs>
      </w:pPr>
      <w:r>
        <w:t>Solution: B</w:t>
      </w:r>
    </w:p>
    <w:p w:rsidR="000601C4" w:rsidRPr="00E24DB0" w:rsidRDefault="000601C4" w:rsidP="001B5162"/>
    <w:p w:rsidR="008932D1" w:rsidRPr="00E24DB0" w:rsidRDefault="007D743E" w:rsidP="001B5162">
      <w:r>
        <w:rPr>
          <w:lang w:val="en-US"/>
        </w:rPr>
        <w:t xml:space="preserve">4. </w:t>
      </w:r>
      <w:r w:rsidR="00AD58FD">
        <w:t>Section:</w:t>
      </w:r>
      <w:r>
        <w:t xml:space="preserve"> 1.2 The Financial System</w:t>
      </w:r>
    </w:p>
    <w:p w:rsidR="008932D1" w:rsidRPr="00E24DB0" w:rsidRDefault="007D743E" w:rsidP="001B5162">
      <w:pPr>
        <w:tabs>
          <w:tab w:val="left" w:pos="360"/>
        </w:tabs>
      </w:pPr>
      <w:r>
        <w:t>Learning objective: 1.3</w:t>
      </w:r>
    </w:p>
    <w:p w:rsidR="008932D1" w:rsidRPr="00E24DB0" w:rsidRDefault="00E24DB0" w:rsidP="001B5162">
      <w:pPr>
        <w:tabs>
          <w:tab w:val="left" w:pos="360"/>
        </w:tabs>
      </w:pPr>
      <w:r>
        <w:t>Level of Difficulty</w:t>
      </w:r>
      <w:r w:rsidR="007D743E">
        <w:t>: Medium</w:t>
      </w:r>
    </w:p>
    <w:p w:rsidR="008932D1" w:rsidRPr="00E24DB0" w:rsidRDefault="007D743E" w:rsidP="001B5162">
      <w:pPr>
        <w:tabs>
          <w:tab w:val="left" w:pos="360"/>
        </w:tabs>
      </w:pPr>
      <w:r>
        <w:t>Solution: A</w:t>
      </w:r>
    </w:p>
    <w:p w:rsidR="008932D1" w:rsidRPr="00E24DB0" w:rsidRDefault="007D743E" w:rsidP="001B5162">
      <w:r>
        <w:t>In the financial system, households are the primary fund providers to the government and businesses.</w:t>
      </w:r>
    </w:p>
    <w:p w:rsidR="008932D1" w:rsidRPr="00E24DB0" w:rsidRDefault="008932D1" w:rsidP="001B5162"/>
    <w:p w:rsidR="00F03D90" w:rsidRPr="00E24DB0" w:rsidRDefault="007D743E" w:rsidP="001B5162">
      <w:r>
        <w:rPr>
          <w:lang w:val="en-US"/>
        </w:rPr>
        <w:t xml:space="preserve">5. </w:t>
      </w:r>
      <w:r w:rsidR="00AD58FD">
        <w:t>Section:</w:t>
      </w:r>
      <w:r>
        <w:t xml:space="preserve"> 1.2 The Financial System</w:t>
      </w:r>
    </w:p>
    <w:p w:rsidR="00F03D90" w:rsidRPr="00E24DB0" w:rsidRDefault="007D743E" w:rsidP="001B5162">
      <w:pPr>
        <w:tabs>
          <w:tab w:val="left" w:pos="360"/>
        </w:tabs>
      </w:pPr>
      <w:r>
        <w:t>Learning objective: 1.3</w:t>
      </w:r>
    </w:p>
    <w:p w:rsidR="00F03D90" w:rsidRPr="00E24DB0" w:rsidRDefault="00E24DB0" w:rsidP="001B5162">
      <w:pPr>
        <w:tabs>
          <w:tab w:val="left" w:pos="360"/>
        </w:tabs>
      </w:pPr>
      <w:r>
        <w:t>Level of Difficulty</w:t>
      </w:r>
      <w:r w:rsidR="007D743E">
        <w:t>: Medium</w:t>
      </w:r>
    </w:p>
    <w:p w:rsidR="00F03D90" w:rsidRPr="00E24DB0" w:rsidRDefault="007D743E" w:rsidP="001B5162">
      <w:pPr>
        <w:tabs>
          <w:tab w:val="left" w:pos="360"/>
        </w:tabs>
      </w:pPr>
      <w:r>
        <w:t>Solution: C</w:t>
      </w:r>
    </w:p>
    <w:p w:rsidR="000601C4" w:rsidRPr="00E24DB0" w:rsidRDefault="007D743E" w:rsidP="001B5162">
      <w:r>
        <w:t>Banks, pension funds, and insurance firms do transform the nature of their underlying financial securities. However, mutual funds do not transform the nature of the underlying financial securities.</w:t>
      </w:r>
    </w:p>
    <w:p w:rsidR="000601C4" w:rsidRPr="00E24DB0" w:rsidRDefault="000601C4" w:rsidP="001B5162"/>
    <w:p w:rsidR="001B5162" w:rsidRPr="00E24DB0" w:rsidRDefault="007D743E" w:rsidP="001B5162">
      <w:r>
        <w:t xml:space="preserve">6. </w:t>
      </w:r>
      <w:r w:rsidR="00AD58FD">
        <w:t xml:space="preserve">Section: </w:t>
      </w:r>
      <w:r>
        <w:t>1.3 Financial Instruments and Markets</w:t>
      </w:r>
    </w:p>
    <w:p w:rsidR="00F03D90" w:rsidRPr="00E24DB0" w:rsidRDefault="007D743E" w:rsidP="001B5162">
      <w:pPr>
        <w:tabs>
          <w:tab w:val="left" w:pos="360"/>
        </w:tabs>
      </w:pPr>
      <w:r>
        <w:t>Learning objective: 1.4</w:t>
      </w:r>
    </w:p>
    <w:p w:rsidR="00F03D90" w:rsidRPr="00E24DB0" w:rsidRDefault="00E24DB0" w:rsidP="001B5162">
      <w:pPr>
        <w:tabs>
          <w:tab w:val="left" w:pos="360"/>
        </w:tabs>
      </w:pPr>
      <w:r>
        <w:t>Level of Difficulty</w:t>
      </w:r>
      <w:r w:rsidR="007D743E">
        <w:t>: Medium</w:t>
      </w:r>
    </w:p>
    <w:p w:rsidR="000601C4" w:rsidRPr="00E24DB0" w:rsidRDefault="007D743E" w:rsidP="001B5162">
      <w:pPr>
        <w:tabs>
          <w:tab w:val="left" w:pos="360"/>
        </w:tabs>
      </w:pPr>
      <w:r>
        <w:t>Solution: C</w:t>
      </w:r>
    </w:p>
    <w:p w:rsidR="00773F88" w:rsidRPr="00E24DB0" w:rsidRDefault="00773F88" w:rsidP="001B5162"/>
    <w:p w:rsidR="0007410E" w:rsidRPr="00E24DB0" w:rsidRDefault="007D743E" w:rsidP="001B5162">
      <w:pPr>
        <w:autoSpaceDE w:val="0"/>
        <w:autoSpaceDN w:val="0"/>
        <w:adjustRightInd w:val="0"/>
        <w:rPr>
          <w:b/>
          <w:bCs/>
          <w:lang w:val="en-US"/>
        </w:rPr>
      </w:pPr>
      <w:r>
        <w:rPr>
          <w:b/>
          <w:bCs/>
          <w:lang w:val="en-US"/>
        </w:rPr>
        <w:t>Practice Problems</w:t>
      </w:r>
    </w:p>
    <w:p w:rsidR="00F03D90" w:rsidRPr="00E24DB0" w:rsidRDefault="007D743E" w:rsidP="001B5162">
      <w:r>
        <w:rPr>
          <w:bCs/>
          <w:lang w:val="en-US"/>
        </w:rPr>
        <w:t xml:space="preserve">7. </w:t>
      </w:r>
      <w:r w:rsidR="00AD58FD">
        <w:t xml:space="preserve">Section: </w:t>
      </w:r>
      <w:r>
        <w:t>1.1 Real versus Financial Assets</w:t>
      </w:r>
    </w:p>
    <w:p w:rsidR="00F03D90" w:rsidRPr="00E24DB0" w:rsidRDefault="007D743E" w:rsidP="001B5162">
      <w:pPr>
        <w:tabs>
          <w:tab w:val="left" w:pos="360"/>
        </w:tabs>
      </w:pPr>
      <w:r>
        <w:t>Learning objective: 1.2</w:t>
      </w:r>
    </w:p>
    <w:p w:rsidR="00F03D90" w:rsidRPr="00E24DB0" w:rsidRDefault="00E24DB0" w:rsidP="001B5162">
      <w:pPr>
        <w:tabs>
          <w:tab w:val="left" w:pos="360"/>
        </w:tabs>
      </w:pPr>
      <w:r>
        <w:t>Level of Difficulty</w:t>
      </w:r>
      <w:r w:rsidR="007D743E">
        <w:t>: Easy</w:t>
      </w:r>
    </w:p>
    <w:p w:rsidR="00F03D90" w:rsidRPr="00E24DB0" w:rsidRDefault="007D743E" w:rsidP="001B5162">
      <w:pPr>
        <w:tabs>
          <w:tab w:val="left" w:pos="360"/>
        </w:tabs>
        <w:autoSpaceDE w:val="0"/>
        <w:autoSpaceDN w:val="0"/>
        <w:adjustRightInd w:val="0"/>
        <w:rPr>
          <w:bCs/>
          <w:lang w:val="en-US"/>
        </w:rPr>
      </w:pPr>
      <w:r>
        <w:rPr>
          <w:bCs/>
          <w:lang w:val="en-US"/>
        </w:rPr>
        <w:t xml:space="preserve">Solution: </w:t>
      </w:r>
    </w:p>
    <w:p w:rsidR="00C05870" w:rsidRPr="00E24DB0" w:rsidRDefault="007D743E" w:rsidP="001B5162">
      <w:pPr>
        <w:tabs>
          <w:tab w:val="left" w:pos="360"/>
        </w:tabs>
        <w:autoSpaceDE w:val="0"/>
        <w:autoSpaceDN w:val="0"/>
        <w:adjustRightInd w:val="0"/>
      </w:pPr>
      <w:r>
        <w:t>Balance sheet:</w:t>
      </w:r>
    </w:p>
    <w:p w:rsidR="00C05870" w:rsidRPr="00E24DB0" w:rsidRDefault="007D743E" w:rsidP="001B5162">
      <w:r>
        <w:lastRenderedPageBreak/>
        <w:t>Residential structures: $1,000+ $3,000+$1,500 = $5,500</w:t>
      </w:r>
    </w:p>
    <w:p w:rsidR="00C05870" w:rsidRPr="00E24DB0" w:rsidRDefault="007D743E" w:rsidP="001B5162">
      <w:r>
        <w:t>As there are no foreign assets or liabilities, the net worth or equity of the island is $5,500</w:t>
      </w:r>
    </w:p>
    <w:p w:rsidR="00C05870" w:rsidRPr="00E24DB0" w:rsidRDefault="00C05870" w:rsidP="001B5162"/>
    <w:p w:rsidR="00C05870" w:rsidRPr="00E24DB0" w:rsidRDefault="007D743E" w:rsidP="001B5162">
      <w:r>
        <w:t>To deal with the Fred and Robinson`s debts:</w:t>
      </w:r>
    </w:p>
    <w:p w:rsidR="00C05870" w:rsidRPr="00E24DB0" w:rsidRDefault="00C05870" w:rsidP="001B5162"/>
    <w:tbl>
      <w:tblPr>
        <w:tblW w:w="0" w:type="auto"/>
        <w:jc w:val="center"/>
        <w:tblBorders>
          <w:top w:val="single" w:sz="12" w:space="0" w:color="000000"/>
          <w:left w:val="single" w:sz="6" w:space="0" w:color="000000"/>
          <w:bottom w:val="single" w:sz="12" w:space="0" w:color="000000"/>
          <w:right w:val="single" w:sz="6" w:space="0" w:color="000000"/>
        </w:tblBorders>
        <w:tblLook w:val="01E0"/>
      </w:tblPr>
      <w:tblGrid>
        <w:gridCol w:w="3192"/>
        <w:gridCol w:w="1236"/>
        <w:gridCol w:w="1440"/>
      </w:tblGrid>
      <w:tr w:rsidR="00C05870" w:rsidRPr="00E24DB0">
        <w:trPr>
          <w:jc w:val="center"/>
        </w:trPr>
        <w:tc>
          <w:tcPr>
            <w:tcW w:w="3192" w:type="dxa"/>
            <w:tcBorders>
              <w:top w:val="single" w:sz="12" w:space="0" w:color="000000"/>
              <w:bottom w:val="single" w:sz="6" w:space="0" w:color="000000"/>
            </w:tcBorders>
            <w:shd w:val="clear" w:color="auto" w:fill="auto"/>
          </w:tcPr>
          <w:p w:rsidR="00C05870" w:rsidRPr="00E24DB0" w:rsidRDefault="00C05870" w:rsidP="001B5162">
            <w:pPr>
              <w:widowControl w:val="0"/>
              <w:autoSpaceDE w:val="0"/>
              <w:autoSpaceDN w:val="0"/>
              <w:adjustRightInd w:val="0"/>
            </w:pPr>
          </w:p>
        </w:tc>
        <w:tc>
          <w:tcPr>
            <w:tcW w:w="1236" w:type="dxa"/>
            <w:tcBorders>
              <w:top w:val="single" w:sz="12" w:space="0" w:color="000000"/>
              <w:bottom w:val="single" w:sz="6" w:space="0" w:color="000000"/>
            </w:tcBorders>
            <w:shd w:val="clear" w:color="auto" w:fill="auto"/>
          </w:tcPr>
          <w:p w:rsidR="00C05870" w:rsidRPr="00E24DB0" w:rsidRDefault="007D743E" w:rsidP="001B5162">
            <w:pPr>
              <w:widowControl w:val="0"/>
              <w:autoSpaceDE w:val="0"/>
              <w:autoSpaceDN w:val="0"/>
              <w:adjustRightInd w:val="0"/>
            </w:pPr>
            <w:r w:rsidRPr="007D743E">
              <w:t>Assets</w:t>
            </w:r>
          </w:p>
        </w:tc>
        <w:tc>
          <w:tcPr>
            <w:tcW w:w="1440" w:type="dxa"/>
            <w:tcBorders>
              <w:top w:val="single" w:sz="12" w:space="0" w:color="000000"/>
              <w:bottom w:val="single" w:sz="6" w:space="0" w:color="000000"/>
            </w:tcBorders>
            <w:shd w:val="clear" w:color="auto" w:fill="auto"/>
          </w:tcPr>
          <w:p w:rsidR="00C05870" w:rsidRPr="00E24DB0" w:rsidRDefault="007D743E" w:rsidP="001B5162">
            <w:pPr>
              <w:widowControl w:val="0"/>
              <w:autoSpaceDE w:val="0"/>
              <w:autoSpaceDN w:val="0"/>
              <w:adjustRightInd w:val="0"/>
            </w:pPr>
            <w:r w:rsidRPr="007D743E">
              <w:t>Liabilities</w:t>
            </w:r>
          </w:p>
        </w:tc>
      </w:tr>
      <w:tr w:rsidR="00C05870" w:rsidRPr="00E24DB0">
        <w:trPr>
          <w:jc w:val="center"/>
        </w:trPr>
        <w:tc>
          <w:tcPr>
            <w:tcW w:w="3192" w:type="dxa"/>
            <w:shd w:val="clear" w:color="auto" w:fill="auto"/>
          </w:tcPr>
          <w:p w:rsidR="00C05870" w:rsidRPr="00E24DB0" w:rsidRDefault="007D743E" w:rsidP="001B5162">
            <w:pPr>
              <w:widowControl w:val="0"/>
              <w:autoSpaceDE w:val="0"/>
              <w:autoSpaceDN w:val="0"/>
              <w:adjustRightInd w:val="0"/>
            </w:pPr>
            <w:r w:rsidRPr="007D743E">
              <w:t>Fred</w:t>
            </w:r>
          </w:p>
        </w:tc>
        <w:tc>
          <w:tcPr>
            <w:tcW w:w="1236" w:type="dxa"/>
            <w:shd w:val="clear" w:color="auto" w:fill="auto"/>
          </w:tcPr>
          <w:p w:rsidR="00C05870" w:rsidRPr="00E24DB0" w:rsidRDefault="00C05870" w:rsidP="001B5162">
            <w:pPr>
              <w:widowControl w:val="0"/>
              <w:autoSpaceDE w:val="0"/>
              <w:autoSpaceDN w:val="0"/>
              <w:adjustRightInd w:val="0"/>
            </w:pPr>
          </w:p>
        </w:tc>
        <w:tc>
          <w:tcPr>
            <w:tcW w:w="1440" w:type="dxa"/>
            <w:shd w:val="clear" w:color="auto" w:fill="auto"/>
          </w:tcPr>
          <w:p w:rsidR="00C05870" w:rsidRPr="00E24DB0" w:rsidRDefault="00C05870" w:rsidP="001B5162">
            <w:pPr>
              <w:widowControl w:val="0"/>
              <w:autoSpaceDE w:val="0"/>
              <w:autoSpaceDN w:val="0"/>
              <w:adjustRightInd w:val="0"/>
            </w:pPr>
          </w:p>
        </w:tc>
      </w:tr>
      <w:tr w:rsidR="00C05870" w:rsidRPr="00E24DB0">
        <w:trPr>
          <w:jc w:val="center"/>
        </w:trPr>
        <w:tc>
          <w:tcPr>
            <w:tcW w:w="3192" w:type="dxa"/>
            <w:shd w:val="clear" w:color="auto" w:fill="auto"/>
          </w:tcPr>
          <w:p w:rsidR="00C05870" w:rsidRPr="00E24DB0" w:rsidRDefault="007D743E" w:rsidP="001B5162">
            <w:pPr>
              <w:widowControl w:val="0"/>
              <w:autoSpaceDE w:val="0"/>
              <w:autoSpaceDN w:val="0"/>
              <w:adjustRightInd w:val="0"/>
            </w:pPr>
            <w:r w:rsidRPr="007D743E">
              <w:t xml:space="preserve">     House</w:t>
            </w:r>
          </w:p>
        </w:tc>
        <w:tc>
          <w:tcPr>
            <w:tcW w:w="1236" w:type="dxa"/>
            <w:shd w:val="clear" w:color="auto" w:fill="auto"/>
          </w:tcPr>
          <w:p w:rsidR="00C05870" w:rsidRPr="00E24DB0" w:rsidRDefault="007D743E" w:rsidP="001B5162">
            <w:pPr>
              <w:widowControl w:val="0"/>
              <w:autoSpaceDE w:val="0"/>
              <w:autoSpaceDN w:val="0"/>
              <w:adjustRightInd w:val="0"/>
            </w:pPr>
            <w:r w:rsidRPr="007D743E">
              <w:t>$1,000</w:t>
            </w:r>
          </w:p>
        </w:tc>
        <w:tc>
          <w:tcPr>
            <w:tcW w:w="1440" w:type="dxa"/>
            <w:shd w:val="clear" w:color="auto" w:fill="auto"/>
          </w:tcPr>
          <w:p w:rsidR="00C05870" w:rsidRPr="00E24DB0" w:rsidRDefault="00C05870" w:rsidP="001B5162">
            <w:pPr>
              <w:widowControl w:val="0"/>
              <w:autoSpaceDE w:val="0"/>
              <w:autoSpaceDN w:val="0"/>
              <w:adjustRightInd w:val="0"/>
            </w:pPr>
          </w:p>
        </w:tc>
      </w:tr>
      <w:tr w:rsidR="00C05870" w:rsidRPr="00E24DB0">
        <w:trPr>
          <w:jc w:val="center"/>
        </w:trPr>
        <w:tc>
          <w:tcPr>
            <w:tcW w:w="3192" w:type="dxa"/>
            <w:shd w:val="clear" w:color="auto" w:fill="auto"/>
          </w:tcPr>
          <w:p w:rsidR="00C05870" w:rsidRPr="00E24DB0" w:rsidRDefault="007D743E" w:rsidP="001B5162">
            <w:pPr>
              <w:widowControl w:val="0"/>
              <w:autoSpaceDE w:val="0"/>
              <w:autoSpaceDN w:val="0"/>
              <w:adjustRightInd w:val="0"/>
            </w:pPr>
            <w:r w:rsidRPr="007D743E">
              <w:t xml:space="preserve">     Debt to Friday</w:t>
            </w:r>
          </w:p>
        </w:tc>
        <w:tc>
          <w:tcPr>
            <w:tcW w:w="1236" w:type="dxa"/>
            <w:shd w:val="clear" w:color="auto" w:fill="auto"/>
          </w:tcPr>
          <w:p w:rsidR="00C05870" w:rsidRPr="00E24DB0" w:rsidRDefault="00C05870" w:rsidP="001B5162">
            <w:pPr>
              <w:widowControl w:val="0"/>
              <w:autoSpaceDE w:val="0"/>
              <w:autoSpaceDN w:val="0"/>
              <w:adjustRightInd w:val="0"/>
            </w:pPr>
          </w:p>
        </w:tc>
        <w:tc>
          <w:tcPr>
            <w:tcW w:w="1440" w:type="dxa"/>
            <w:shd w:val="clear" w:color="auto" w:fill="auto"/>
          </w:tcPr>
          <w:p w:rsidR="00C05870" w:rsidRPr="00E24DB0" w:rsidRDefault="007D743E" w:rsidP="001B5162">
            <w:pPr>
              <w:widowControl w:val="0"/>
              <w:autoSpaceDE w:val="0"/>
              <w:autoSpaceDN w:val="0"/>
              <w:adjustRightInd w:val="0"/>
            </w:pPr>
            <w:r w:rsidRPr="007D743E">
              <w:t>$500</w:t>
            </w:r>
          </w:p>
        </w:tc>
      </w:tr>
      <w:tr w:rsidR="00C05870" w:rsidRPr="00E24DB0">
        <w:trPr>
          <w:jc w:val="center"/>
        </w:trPr>
        <w:tc>
          <w:tcPr>
            <w:tcW w:w="3192" w:type="dxa"/>
            <w:shd w:val="clear" w:color="auto" w:fill="auto"/>
          </w:tcPr>
          <w:p w:rsidR="00C05870" w:rsidRPr="00E24DB0" w:rsidRDefault="007D743E" w:rsidP="001B5162">
            <w:pPr>
              <w:widowControl w:val="0"/>
              <w:autoSpaceDE w:val="0"/>
              <w:autoSpaceDN w:val="0"/>
              <w:adjustRightInd w:val="0"/>
            </w:pPr>
            <w:r w:rsidRPr="007D743E">
              <w:t>Robinson</w:t>
            </w:r>
          </w:p>
        </w:tc>
        <w:tc>
          <w:tcPr>
            <w:tcW w:w="1236" w:type="dxa"/>
            <w:shd w:val="clear" w:color="auto" w:fill="auto"/>
          </w:tcPr>
          <w:p w:rsidR="00C05870" w:rsidRPr="00E24DB0" w:rsidRDefault="00C05870" w:rsidP="001B5162">
            <w:pPr>
              <w:widowControl w:val="0"/>
              <w:autoSpaceDE w:val="0"/>
              <w:autoSpaceDN w:val="0"/>
              <w:adjustRightInd w:val="0"/>
            </w:pPr>
          </w:p>
        </w:tc>
        <w:tc>
          <w:tcPr>
            <w:tcW w:w="1440" w:type="dxa"/>
            <w:shd w:val="clear" w:color="auto" w:fill="auto"/>
          </w:tcPr>
          <w:p w:rsidR="00C05870" w:rsidRPr="00E24DB0" w:rsidRDefault="00C05870" w:rsidP="001B5162">
            <w:pPr>
              <w:widowControl w:val="0"/>
              <w:autoSpaceDE w:val="0"/>
              <w:autoSpaceDN w:val="0"/>
              <w:adjustRightInd w:val="0"/>
            </w:pPr>
          </w:p>
        </w:tc>
      </w:tr>
      <w:tr w:rsidR="00C05870" w:rsidRPr="00E24DB0">
        <w:trPr>
          <w:jc w:val="center"/>
        </w:trPr>
        <w:tc>
          <w:tcPr>
            <w:tcW w:w="3192" w:type="dxa"/>
            <w:shd w:val="clear" w:color="auto" w:fill="auto"/>
          </w:tcPr>
          <w:p w:rsidR="00C05870" w:rsidRPr="00E24DB0" w:rsidRDefault="007D743E" w:rsidP="001B5162">
            <w:pPr>
              <w:widowControl w:val="0"/>
              <w:autoSpaceDE w:val="0"/>
              <w:autoSpaceDN w:val="0"/>
              <w:adjustRightInd w:val="0"/>
            </w:pPr>
            <w:r w:rsidRPr="007D743E">
              <w:t xml:space="preserve">     House</w:t>
            </w:r>
          </w:p>
        </w:tc>
        <w:tc>
          <w:tcPr>
            <w:tcW w:w="1236" w:type="dxa"/>
            <w:shd w:val="clear" w:color="auto" w:fill="auto"/>
          </w:tcPr>
          <w:p w:rsidR="00C05870" w:rsidRPr="00E24DB0" w:rsidRDefault="007D743E" w:rsidP="001B5162">
            <w:pPr>
              <w:widowControl w:val="0"/>
              <w:tabs>
                <w:tab w:val="left" w:pos="480"/>
              </w:tabs>
              <w:autoSpaceDE w:val="0"/>
              <w:autoSpaceDN w:val="0"/>
              <w:adjustRightInd w:val="0"/>
            </w:pPr>
            <w:r w:rsidRPr="007D743E">
              <w:t>$3,000</w:t>
            </w:r>
          </w:p>
        </w:tc>
        <w:tc>
          <w:tcPr>
            <w:tcW w:w="1440" w:type="dxa"/>
            <w:shd w:val="clear" w:color="auto" w:fill="auto"/>
          </w:tcPr>
          <w:p w:rsidR="00C05870" w:rsidRPr="00E24DB0" w:rsidRDefault="00C05870" w:rsidP="001B5162">
            <w:pPr>
              <w:widowControl w:val="0"/>
              <w:autoSpaceDE w:val="0"/>
              <w:autoSpaceDN w:val="0"/>
              <w:adjustRightInd w:val="0"/>
            </w:pPr>
          </w:p>
        </w:tc>
      </w:tr>
      <w:tr w:rsidR="00C05870" w:rsidRPr="00E24DB0">
        <w:trPr>
          <w:jc w:val="center"/>
        </w:trPr>
        <w:tc>
          <w:tcPr>
            <w:tcW w:w="3192" w:type="dxa"/>
            <w:shd w:val="clear" w:color="auto" w:fill="auto"/>
          </w:tcPr>
          <w:p w:rsidR="00C05870" w:rsidRPr="00E24DB0" w:rsidRDefault="007D743E" w:rsidP="001B5162">
            <w:pPr>
              <w:widowControl w:val="0"/>
              <w:autoSpaceDE w:val="0"/>
              <w:autoSpaceDN w:val="0"/>
              <w:adjustRightInd w:val="0"/>
            </w:pPr>
            <w:r w:rsidRPr="007D743E">
              <w:t xml:space="preserve">     Debt to Friday</w:t>
            </w:r>
          </w:p>
        </w:tc>
        <w:tc>
          <w:tcPr>
            <w:tcW w:w="1236" w:type="dxa"/>
            <w:shd w:val="clear" w:color="auto" w:fill="auto"/>
          </w:tcPr>
          <w:p w:rsidR="00C05870" w:rsidRPr="00E24DB0" w:rsidRDefault="00C05870" w:rsidP="001B5162">
            <w:pPr>
              <w:widowControl w:val="0"/>
              <w:autoSpaceDE w:val="0"/>
              <w:autoSpaceDN w:val="0"/>
              <w:adjustRightInd w:val="0"/>
            </w:pPr>
          </w:p>
        </w:tc>
        <w:tc>
          <w:tcPr>
            <w:tcW w:w="1440" w:type="dxa"/>
            <w:shd w:val="clear" w:color="auto" w:fill="auto"/>
          </w:tcPr>
          <w:p w:rsidR="00C05870" w:rsidRPr="00E24DB0" w:rsidRDefault="007D743E" w:rsidP="001B5162">
            <w:pPr>
              <w:widowControl w:val="0"/>
              <w:autoSpaceDE w:val="0"/>
              <w:autoSpaceDN w:val="0"/>
              <w:adjustRightInd w:val="0"/>
            </w:pPr>
            <w:r w:rsidRPr="007D743E">
              <w:t>$2,000</w:t>
            </w:r>
          </w:p>
        </w:tc>
      </w:tr>
      <w:tr w:rsidR="00C05870" w:rsidRPr="00E24DB0">
        <w:trPr>
          <w:jc w:val="center"/>
        </w:trPr>
        <w:tc>
          <w:tcPr>
            <w:tcW w:w="3192" w:type="dxa"/>
            <w:shd w:val="clear" w:color="auto" w:fill="auto"/>
          </w:tcPr>
          <w:p w:rsidR="00C05870" w:rsidRPr="00E24DB0" w:rsidRDefault="007D743E" w:rsidP="001B5162">
            <w:pPr>
              <w:widowControl w:val="0"/>
              <w:tabs>
                <w:tab w:val="left" w:pos="480"/>
              </w:tabs>
              <w:autoSpaceDE w:val="0"/>
              <w:autoSpaceDN w:val="0"/>
              <w:adjustRightInd w:val="0"/>
            </w:pPr>
            <w:r w:rsidRPr="007D743E">
              <w:t>Friday</w:t>
            </w:r>
          </w:p>
        </w:tc>
        <w:tc>
          <w:tcPr>
            <w:tcW w:w="1236" w:type="dxa"/>
            <w:shd w:val="clear" w:color="auto" w:fill="auto"/>
          </w:tcPr>
          <w:p w:rsidR="00C05870" w:rsidRPr="00E24DB0" w:rsidRDefault="00C05870" w:rsidP="001B5162">
            <w:pPr>
              <w:widowControl w:val="0"/>
              <w:autoSpaceDE w:val="0"/>
              <w:autoSpaceDN w:val="0"/>
              <w:adjustRightInd w:val="0"/>
            </w:pPr>
          </w:p>
        </w:tc>
        <w:tc>
          <w:tcPr>
            <w:tcW w:w="1440" w:type="dxa"/>
            <w:shd w:val="clear" w:color="auto" w:fill="auto"/>
          </w:tcPr>
          <w:p w:rsidR="00C05870" w:rsidRPr="00E24DB0" w:rsidRDefault="00C05870" w:rsidP="001B5162">
            <w:pPr>
              <w:widowControl w:val="0"/>
              <w:autoSpaceDE w:val="0"/>
              <w:autoSpaceDN w:val="0"/>
              <w:adjustRightInd w:val="0"/>
            </w:pPr>
          </w:p>
        </w:tc>
      </w:tr>
      <w:tr w:rsidR="00C05870" w:rsidRPr="00E24DB0">
        <w:trPr>
          <w:jc w:val="center"/>
        </w:trPr>
        <w:tc>
          <w:tcPr>
            <w:tcW w:w="3192" w:type="dxa"/>
            <w:shd w:val="clear" w:color="auto" w:fill="auto"/>
          </w:tcPr>
          <w:p w:rsidR="00C05870" w:rsidRPr="00E24DB0" w:rsidRDefault="007D743E" w:rsidP="001B5162">
            <w:pPr>
              <w:widowControl w:val="0"/>
              <w:autoSpaceDE w:val="0"/>
              <w:autoSpaceDN w:val="0"/>
              <w:adjustRightInd w:val="0"/>
            </w:pPr>
            <w:r w:rsidRPr="007D743E">
              <w:t xml:space="preserve">     House</w:t>
            </w:r>
          </w:p>
        </w:tc>
        <w:tc>
          <w:tcPr>
            <w:tcW w:w="1236" w:type="dxa"/>
            <w:shd w:val="clear" w:color="auto" w:fill="auto"/>
          </w:tcPr>
          <w:p w:rsidR="00C05870" w:rsidRPr="00E24DB0" w:rsidRDefault="007D743E" w:rsidP="001B5162">
            <w:pPr>
              <w:widowControl w:val="0"/>
              <w:autoSpaceDE w:val="0"/>
              <w:autoSpaceDN w:val="0"/>
              <w:adjustRightInd w:val="0"/>
            </w:pPr>
            <w:r w:rsidRPr="007D743E">
              <w:t>$1,500</w:t>
            </w:r>
          </w:p>
        </w:tc>
        <w:tc>
          <w:tcPr>
            <w:tcW w:w="1440" w:type="dxa"/>
            <w:shd w:val="clear" w:color="auto" w:fill="auto"/>
          </w:tcPr>
          <w:p w:rsidR="00C05870" w:rsidRPr="00E24DB0" w:rsidRDefault="00C05870" w:rsidP="001B5162">
            <w:pPr>
              <w:widowControl w:val="0"/>
              <w:autoSpaceDE w:val="0"/>
              <w:autoSpaceDN w:val="0"/>
              <w:adjustRightInd w:val="0"/>
            </w:pPr>
          </w:p>
        </w:tc>
      </w:tr>
      <w:tr w:rsidR="00C05870" w:rsidRPr="00E24DB0">
        <w:trPr>
          <w:jc w:val="center"/>
        </w:trPr>
        <w:tc>
          <w:tcPr>
            <w:tcW w:w="3192" w:type="dxa"/>
            <w:shd w:val="clear" w:color="auto" w:fill="auto"/>
          </w:tcPr>
          <w:p w:rsidR="00C05870" w:rsidRPr="00E24DB0" w:rsidRDefault="007D743E" w:rsidP="001B5162">
            <w:pPr>
              <w:widowControl w:val="0"/>
              <w:autoSpaceDE w:val="0"/>
              <w:autoSpaceDN w:val="0"/>
              <w:adjustRightInd w:val="0"/>
            </w:pPr>
            <w:r w:rsidRPr="007D743E">
              <w:t xml:space="preserve">     Loan to Fred</w:t>
            </w:r>
          </w:p>
        </w:tc>
        <w:tc>
          <w:tcPr>
            <w:tcW w:w="1236" w:type="dxa"/>
            <w:shd w:val="clear" w:color="auto" w:fill="auto"/>
          </w:tcPr>
          <w:p w:rsidR="00C05870" w:rsidRPr="00E24DB0" w:rsidRDefault="007D743E" w:rsidP="001B5162">
            <w:pPr>
              <w:widowControl w:val="0"/>
              <w:autoSpaceDE w:val="0"/>
              <w:autoSpaceDN w:val="0"/>
              <w:adjustRightInd w:val="0"/>
            </w:pPr>
            <w:r w:rsidRPr="007D743E">
              <w:t>$   500</w:t>
            </w:r>
          </w:p>
        </w:tc>
        <w:tc>
          <w:tcPr>
            <w:tcW w:w="1440" w:type="dxa"/>
            <w:shd w:val="clear" w:color="auto" w:fill="auto"/>
          </w:tcPr>
          <w:p w:rsidR="00C05870" w:rsidRPr="00E24DB0" w:rsidRDefault="00C05870" w:rsidP="001B5162">
            <w:pPr>
              <w:widowControl w:val="0"/>
              <w:autoSpaceDE w:val="0"/>
              <w:autoSpaceDN w:val="0"/>
              <w:adjustRightInd w:val="0"/>
            </w:pPr>
          </w:p>
        </w:tc>
      </w:tr>
      <w:tr w:rsidR="00C05870" w:rsidRPr="00E24DB0">
        <w:trPr>
          <w:trHeight w:val="200"/>
          <w:jc w:val="center"/>
        </w:trPr>
        <w:tc>
          <w:tcPr>
            <w:tcW w:w="3192" w:type="dxa"/>
            <w:tcBorders>
              <w:bottom w:val="single" w:sz="6" w:space="0" w:color="000000"/>
            </w:tcBorders>
            <w:shd w:val="clear" w:color="auto" w:fill="auto"/>
          </w:tcPr>
          <w:p w:rsidR="00C05870" w:rsidRPr="00E24DB0" w:rsidRDefault="007D743E" w:rsidP="001B5162">
            <w:pPr>
              <w:widowControl w:val="0"/>
              <w:tabs>
                <w:tab w:val="left" w:pos="480"/>
              </w:tabs>
              <w:autoSpaceDE w:val="0"/>
              <w:autoSpaceDN w:val="0"/>
              <w:adjustRightInd w:val="0"/>
            </w:pPr>
            <w:r w:rsidRPr="007D743E">
              <w:t xml:space="preserve">     Loan to Robinson</w:t>
            </w:r>
          </w:p>
        </w:tc>
        <w:tc>
          <w:tcPr>
            <w:tcW w:w="1236" w:type="dxa"/>
            <w:tcBorders>
              <w:bottom w:val="single" w:sz="6" w:space="0" w:color="000000"/>
            </w:tcBorders>
            <w:shd w:val="clear" w:color="auto" w:fill="auto"/>
          </w:tcPr>
          <w:p w:rsidR="00C05870" w:rsidRPr="00E24DB0" w:rsidRDefault="007D743E" w:rsidP="001B5162">
            <w:pPr>
              <w:widowControl w:val="0"/>
              <w:tabs>
                <w:tab w:val="left" w:pos="480"/>
              </w:tabs>
              <w:autoSpaceDE w:val="0"/>
              <w:autoSpaceDN w:val="0"/>
              <w:adjustRightInd w:val="0"/>
            </w:pPr>
            <w:r w:rsidRPr="007D743E">
              <w:t>$2,000</w:t>
            </w:r>
          </w:p>
        </w:tc>
        <w:tc>
          <w:tcPr>
            <w:tcW w:w="1440" w:type="dxa"/>
            <w:tcBorders>
              <w:bottom w:val="single" w:sz="6" w:space="0" w:color="000000"/>
            </w:tcBorders>
            <w:shd w:val="clear" w:color="auto" w:fill="auto"/>
          </w:tcPr>
          <w:p w:rsidR="00C05870" w:rsidRPr="00E24DB0" w:rsidRDefault="00C05870" w:rsidP="001B5162">
            <w:pPr>
              <w:widowControl w:val="0"/>
              <w:autoSpaceDE w:val="0"/>
              <w:autoSpaceDN w:val="0"/>
              <w:adjustRightInd w:val="0"/>
            </w:pPr>
          </w:p>
        </w:tc>
      </w:tr>
      <w:tr w:rsidR="00C05870" w:rsidRPr="00E24DB0">
        <w:trPr>
          <w:trHeight w:val="175"/>
          <w:jc w:val="center"/>
        </w:trPr>
        <w:tc>
          <w:tcPr>
            <w:tcW w:w="3192" w:type="dxa"/>
            <w:tcBorders>
              <w:top w:val="single" w:sz="6" w:space="0" w:color="000000"/>
              <w:bottom w:val="single" w:sz="6" w:space="0" w:color="000000"/>
            </w:tcBorders>
            <w:shd w:val="clear" w:color="auto" w:fill="auto"/>
          </w:tcPr>
          <w:p w:rsidR="00C05870" w:rsidRPr="00E24DB0" w:rsidRDefault="00C05870" w:rsidP="001B5162">
            <w:pPr>
              <w:widowControl w:val="0"/>
              <w:autoSpaceDE w:val="0"/>
              <w:autoSpaceDN w:val="0"/>
              <w:adjustRightInd w:val="0"/>
            </w:pPr>
          </w:p>
        </w:tc>
        <w:tc>
          <w:tcPr>
            <w:tcW w:w="1236" w:type="dxa"/>
            <w:tcBorders>
              <w:top w:val="single" w:sz="6" w:space="0" w:color="000000"/>
              <w:bottom w:val="single" w:sz="6" w:space="0" w:color="000000"/>
            </w:tcBorders>
            <w:shd w:val="clear" w:color="auto" w:fill="auto"/>
          </w:tcPr>
          <w:p w:rsidR="00C05870" w:rsidRPr="00E24DB0" w:rsidRDefault="00C05870" w:rsidP="001B5162">
            <w:pPr>
              <w:widowControl w:val="0"/>
              <w:autoSpaceDE w:val="0"/>
              <w:autoSpaceDN w:val="0"/>
              <w:adjustRightInd w:val="0"/>
            </w:pPr>
          </w:p>
        </w:tc>
        <w:tc>
          <w:tcPr>
            <w:tcW w:w="1440" w:type="dxa"/>
            <w:tcBorders>
              <w:top w:val="single" w:sz="6" w:space="0" w:color="000000"/>
              <w:bottom w:val="single" w:sz="6" w:space="0" w:color="000000"/>
            </w:tcBorders>
            <w:shd w:val="clear" w:color="auto" w:fill="auto"/>
          </w:tcPr>
          <w:p w:rsidR="00C05870" w:rsidRPr="00E24DB0" w:rsidRDefault="00C05870" w:rsidP="001B5162">
            <w:pPr>
              <w:widowControl w:val="0"/>
              <w:autoSpaceDE w:val="0"/>
              <w:autoSpaceDN w:val="0"/>
              <w:adjustRightInd w:val="0"/>
            </w:pPr>
          </w:p>
        </w:tc>
      </w:tr>
      <w:tr w:rsidR="00C05870" w:rsidRPr="00E24DB0">
        <w:trPr>
          <w:trHeight w:val="326"/>
          <w:jc w:val="center"/>
        </w:trPr>
        <w:tc>
          <w:tcPr>
            <w:tcW w:w="3192" w:type="dxa"/>
            <w:tcBorders>
              <w:top w:val="single" w:sz="6" w:space="0" w:color="000000"/>
              <w:bottom w:val="single" w:sz="6" w:space="0" w:color="000000"/>
            </w:tcBorders>
            <w:shd w:val="clear" w:color="auto" w:fill="auto"/>
          </w:tcPr>
          <w:p w:rsidR="00C05870" w:rsidRPr="00E24DB0" w:rsidRDefault="007D743E" w:rsidP="001B5162">
            <w:pPr>
              <w:widowControl w:val="0"/>
              <w:tabs>
                <w:tab w:val="left" w:pos="480"/>
              </w:tabs>
              <w:autoSpaceDE w:val="0"/>
              <w:autoSpaceDN w:val="0"/>
              <w:adjustRightInd w:val="0"/>
            </w:pPr>
            <w:r w:rsidRPr="007D743E">
              <w:t>Totals</w:t>
            </w:r>
          </w:p>
        </w:tc>
        <w:tc>
          <w:tcPr>
            <w:tcW w:w="1236" w:type="dxa"/>
            <w:tcBorders>
              <w:top w:val="single" w:sz="6" w:space="0" w:color="000000"/>
              <w:bottom w:val="single" w:sz="6" w:space="0" w:color="000000"/>
            </w:tcBorders>
            <w:shd w:val="clear" w:color="auto" w:fill="auto"/>
          </w:tcPr>
          <w:p w:rsidR="00C05870" w:rsidRPr="00E24DB0" w:rsidRDefault="007D743E" w:rsidP="001B5162">
            <w:pPr>
              <w:widowControl w:val="0"/>
              <w:tabs>
                <w:tab w:val="left" w:pos="480"/>
              </w:tabs>
              <w:autoSpaceDE w:val="0"/>
              <w:autoSpaceDN w:val="0"/>
              <w:adjustRightInd w:val="0"/>
            </w:pPr>
            <w:r w:rsidRPr="007D743E">
              <w:t>$8,000</w:t>
            </w:r>
          </w:p>
        </w:tc>
        <w:tc>
          <w:tcPr>
            <w:tcW w:w="1440" w:type="dxa"/>
            <w:tcBorders>
              <w:top w:val="single" w:sz="6" w:space="0" w:color="000000"/>
              <w:bottom w:val="single" w:sz="6" w:space="0" w:color="000000"/>
            </w:tcBorders>
            <w:shd w:val="clear" w:color="auto" w:fill="auto"/>
          </w:tcPr>
          <w:p w:rsidR="00C05870" w:rsidRPr="00E24DB0" w:rsidRDefault="007D743E" w:rsidP="001B5162">
            <w:pPr>
              <w:widowControl w:val="0"/>
              <w:tabs>
                <w:tab w:val="left" w:pos="480"/>
              </w:tabs>
              <w:autoSpaceDE w:val="0"/>
              <w:autoSpaceDN w:val="0"/>
              <w:adjustRightInd w:val="0"/>
            </w:pPr>
            <w:r w:rsidRPr="007D743E">
              <w:t>$2,500</w:t>
            </w:r>
          </w:p>
        </w:tc>
      </w:tr>
    </w:tbl>
    <w:p w:rsidR="00C05870" w:rsidRPr="00E24DB0" w:rsidRDefault="00C05870" w:rsidP="001B5162"/>
    <w:p w:rsidR="00C05870" w:rsidRPr="00E24DB0" w:rsidRDefault="007D743E" w:rsidP="001B5162">
      <w:pPr>
        <w:autoSpaceDE w:val="0"/>
        <w:autoSpaceDN w:val="0"/>
        <w:adjustRightInd w:val="0"/>
        <w:rPr>
          <w:bCs/>
          <w:lang w:val="en-US"/>
        </w:rPr>
      </w:pPr>
      <w:r>
        <w:t>As net worth equals assets minus liabilities, the net worth of the economy equals total assets minus total liabilities or $5,500.</w:t>
      </w:r>
    </w:p>
    <w:p w:rsidR="00C05870" w:rsidRPr="00E24DB0" w:rsidRDefault="00C05870" w:rsidP="001B5162">
      <w:pPr>
        <w:autoSpaceDE w:val="0"/>
        <w:autoSpaceDN w:val="0"/>
        <w:adjustRightInd w:val="0"/>
        <w:rPr>
          <w:b/>
          <w:bCs/>
          <w:lang w:val="en-US"/>
        </w:rPr>
      </w:pPr>
    </w:p>
    <w:p w:rsidR="00F03D90" w:rsidRPr="00E24DB0" w:rsidRDefault="007D743E" w:rsidP="001B5162">
      <w:r>
        <w:rPr>
          <w:lang w:val="en-US"/>
        </w:rPr>
        <w:t xml:space="preserve">8. </w:t>
      </w:r>
      <w:r w:rsidR="00AD58FD">
        <w:t xml:space="preserve">Section: </w:t>
      </w:r>
      <w:r>
        <w:t xml:space="preserve"> 1.2 The Financial System</w:t>
      </w:r>
    </w:p>
    <w:p w:rsidR="00F03D90" w:rsidRPr="00E24DB0" w:rsidRDefault="007D743E" w:rsidP="001B5162">
      <w:pPr>
        <w:tabs>
          <w:tab w:val="left" w:pos="360"/>
        </w:tabs>
      </w:pPr>
      <w:r>
        <w:t>Learning objective: 1.3</w:t>
      </w:r>
    </w:p>
    <w:p w:rsidR="00F03D90" w:rsidRPr="00E24DB0" w:rsidRDefault="00E24DB0" w:rsidP="001B5162">
      <w:pPr>
        <w:tabs>
          <w:tab w:val="left" w:pos="360"/>
        </w:tabs>
      </w:pPr>
      <w:r>
        <w:t>Level of Difficulty</w:t>
      </w:r>
      <w:r w:rsidR="007D743E">
        <w:t>: Medium</w:t>
      </w:r>
    </w:p>
    <w:p w:rsidR="001B5DD3" w:rsidRPr="00E24DB0" w:rsidRDefault="007D743E" w:rsidP="001B5162">
      <w:pPr>
        <w:tabs>
          <w:tab w:val="left" w:pos="360"/>
        </w:tabs>
        <w:autoSpaceDE w:val="0"/>
        <w:autoSpaceDN w:val="0"/>
        <w:adjustRightInd w:val="0"/>
      </w:pPr>
      <w:r>
        <w:rPr>
          <w:bCs/>
          <w:lang w:val="en-US"/>
        </w:rPr>
        <w:t xml:space="preserve">Solution:  </w:t>
      </w:r>
      <w:r>
        <w:t>In the financial system, there are mainly four major sectors: Households, Government, Business and Non-Residents.  Within the field of finance there are four major areas: personal finance, government finance, corporate finance, and international finance. They closely interrelate to each other. Because they are all major parts of the whole financial system, what happens in one market will affect all the other markets.</w:t>
      </w:r>
    </w:p>
    <w:p w:rsidR="00634445" w:rsidRPr="00E24DB0" w:rsidRDefault="00634445" w:rsidP="001B5162"/>
    <w:p w:rsidR="00F03D90" w:rsidRPr="00E24DB0" w:rsidRDefault="007D743E" w:rsidP="001B5162">
      <w:r>
        <w:rPr>
          <w:lang w:val="en-US"/>
        </w:rPr>
        <w:t>9.</w:t>
      </w:r>
      <w:r>
        <w:t xml:space="preserve"> </w:t>
      </w:r>
      <w:r w:rsidR="00AD58FD">
        <w:t xml:space="preserve">Section: </w:t>
      </w:r>
      <w:r>
        <w:t xml:space="preserve"> 1.2 The Financial System</w:t>
      </w:r>
    </w:p>
    <w:p w:rsidR="00F03D90" w:rsidRPr="00E24DB0" w:rsidRDefault="007D743E" w:rsidP="001B5162">
      <w:pPr>
        <w:tabs>
          <w:tab w:val="left" w:pos="360"/>
        </w:tabs>
      </w:pPr>
      <w:r>
        <w:t>Learning objective: 1.3</w:t>
      </w:r>
    </w:p>
    <w:p w:rsidR="0007410E" w:rsidRPr="00E24DB0" w:rsidRDefault="00E24DB0" w:rsidP="001B5162">
      <w:pPr>
        <w:tabs>
          <w:tab w:val="left" w:pos="360"/>
        </w:tabs>
        <w:rPr>
          <w:lang w:val="en-US"/>
        </w:rPr>
      </w:pPr>
      <w:r>
        <w:t>Level of Difficulty</w:t>
      </w:r>
      <w:r w:rsidR="007D743E">
        <w:t>: Medium</w:t>
      </w:r>
    </w:p>
    <w:p w:rsidR="00634445" w:rsidRPr="00E24DB0" w:rsidRDefault="007D743E" w:rsidP="001B5162">
      <w:r>
        <w:t>Solution: Banks take in deposits and loan them out to fund borrowers. Pension funds take in pension contributions and pay out pensions to plan participants when they retire. Insurance firms take in premiums and pay out when a certain event occurs. Mutual funds pool small funds together and make investments that small investors cannot make. Mutual funds also offer investment expertise to ordinary investors.</w:t>
      </w:r>
    </w:p>
    <w:p w:rsidR="001B5DD3" w:rsidRPr="00E24DB0" w:rsidRDefault="001B5DD3" w:rsidP="001B5162">
      <w:pPr>
        <w:autoSpaceDE w:val="0"/>
        <w:autoSpaceDN w:val="0"/>
        <w:adjustRightInd w:val="0"/>
        <w:rPr>
          <w:lang w:val="en-US"/>
        </w:rPr>
      </w:pPr>
    </w:p>
    <w:p w:rsidR="00F03D90" w:rsidRPr="00E24DB0" w:rsidRDefault="007D743E" w:rsidP="001B5162">
      <w:r>
        <w:rPr>
          <w:lang w:val="en-US"/>
        </w:rPr>
        <w:t xml:space="preserve">10. </w:t>
      </w:r>
      <w:r w:rsidR="00AD58FD">
        <w:t>Section:</w:t>
      </w:r>
      <w:r>
        <w:t xml:space="preserve"> 1.2 The Financial System</w:t>
      </w:r>
    </w:p>
    <w:p w:rsidR="00F03D90" w:rsidRPr="00E24DB0" w:rsidRDefault="007D743E" w:rsidP="001B5162">
      <w:pPr>
        <w:tabs>
          <w:tab w:val="left" w:pos="360"/>
        </w:tabs>
      </w:pPr>
      <w:r>
        <w:t>Learning objective: 1.3</w:t>
      </w:r>
    </w:p>
    <w:p w:rsidR="00634445" w:rsidRPr="00E24DB0" w:rsidRDefault="00E24DB0" w:rsidP="001B5162">
      <w:pPr>
        <w:tabs>
          <w:tab w:val="left" w:pos="360"/>
        </w:tabs>
      </w:pPr>
      <w:r>
        <w:t>Level of Difficulty</w:t>
      </w:r>
      <w:r w:rsidR="007D743E">
        <w:t>: Medium</w:t>
      </w:r>
    </w:p>
    <w:p w:rsidR="00634445" w:rsidRPr="00E24DB0" w:rsidRDefault="007D743E" w:rsidP="001B5162">
      <w:r>
        <w:t>Solution: Five main reasons why financial and market intermediaries exist are:</w:t>
      </w:r>
    </w:p>
    <w:p w:rsidR="00634445" w:rsidRPr="00E24DB0" w:rsidRDefault="007D743E" w:rsidP="001B5162">
      <w:r>
        <w:t>i) They provide anonymousness and convenience to all transaction parties.</w:t>
      </w:r>
    </w:p>
    <w:p w:rsidR="00634445" w:rsidRPr="00E24DB0" w:rsidRDefault="007D743E" w:rsidP="001B5162">
      <w:r>
        <w:lastRenderedPageBreak/>
        <w:t>ii) They efficiently match the needs of the participants in the financial market and aggregate all the small transactions.</w:t>
      </w:r>
    </w:p>
    <w:p w:rsidR="00634445" w:rsidRPr="00E24DB0" w:rsidRDefault="007D743E" w:rsidP="001B5162">
      <w:r>
        <w:t>iii) They have procedures for documentation of legal contracts to ensure security.</w:t>
      </w:r>
    </w:p>
    <w:p w:rsidR="00634445" w:rsidRPr="00E24DB0" w:rsidRDefault="007D743E" w:rsidP="001B5162">
      <w:r>
        <w:t>iv) The risk of non-payment is alleviated by maintaining credit ratings and by controlling other accounts.</w:t>
      </w:r>
    </w:p>
    <w:p w:rsidR="001B5DD3" w:rsidRPr="00E24DB0" w:rsidRDefault="007D743E" w:rsidP="001B5162">
      <w:r>
        <w:t>v) Financial institutions transform the nature of the underlying financial securities.</w:t>
      </w:r>
    </w:p>
    <w:p w:rsidR="00D17AE5" w:rsidRPr="00E24DB0" w:rsidRDefault="00D17AE5" w:rsidP="001B5162"/>
    <w:p w:rsidR="00F03D90" w:rsidRPr="00E24DB0" w:rsidRDefault="007D743E" w:rsidP="001B5162">
      <w:r>
        <w:t xml:space="preserve">11. </w:t>
      </w:r>
      <w:r w:rsidR="00AD58FD">
        <w:t>Section:</w:t>
      </w:r>
      <w:r>
        <w:t xml:space="preserve"> 1.2 The Financial System</w:t>
      </w:r>
    </w:p>
    <w:p w:rsidR="00F03D90" w:rsidRPr="00E24DB0" w:rsidRDefault="007D743E" w:rsidP="001B5162">
      <w:pPr>
        <w:tabs>
          <w:tab w:val="left" w:pos="360"/>
        </w:tabs>
      </w:pPr>
      <w:r>
        <w:t>Learning objective: 1.3</w:t>
      </w:r>
    </w:p>
    <w:p w:rsidR="00D17AE5" w:rsidRPr="00E24DB0" w:rsidRDefault="00E24DB0" w:rsidP="001B5162">
      <w:pPr>
        <w:tabs>
          <w:tab w:val="left" w:pos="360"/>
        </w:tabs>
      </w:pPr>
      <w:r>
        <w:t>Level of Difficulty</w:t>
      </w:r>
      <w:r w:rsidR="007D743E">
        <w:t>: Medium</w:t>
      </w:r>
    </w:p>
    <w:p w:rsidR="00D17AE5" w:rsidRPr="00E24DB0" w:rsidRDefault="007D743E" w:rsidP="001B5162">
      <w:r>
        <w:t xml:space="preserve">Solution: A “credit crunch” refers to a situation when financial intermediaries such as banks and other lenders are either unable or unwilling, in general, to offer credit to borrowers. The crunch usually arises due to a lack of confidence leading people, and other institutions, to be unwilling to lend to the financial intermediary. If very few people are willing to lend to the financial intermediary, then they, in turn, will not have the funds available to lend out and the “crunch” begins. </w:t>
      </w:r>
    </w:p>
    <w:p w:rsidR="00D17AE5" w:rsidRPr="00E24DB0" w:rsidRDefault="00D17AE5" w:rsidP="001B5162"/>
    <w:p w:rsidR="00F03D90" w:rsidRPr="00E24DB0" w:rsidRDefault="007D743E" w:rsidP="001B5162">
      <w:r>
        <w:rPr>
          <w:lang w:val="en-US"/>
        </w:rPr>
        <w:t xml:space="preserve">12. </w:t>
      </w:r>
      <w:r w:rsidR="00AD58FD">
        <w:t>Section:</w:t>
      </w:r>
      <w:r>
        <w:t xml:space="preserve"> 1.3 Financial Instruments and Markets</w:t>
      </w:r>
    </w:p>
    <w:p w:rsidR="00F03D90" w:rsidRPr="00E24DB0" w:rsidRDefault="007D743E" w:rsidP="001B5162">
      <w:pPr>
        <w:tabs>
          <w:tab w:val="left" w:pos="360"/>
        </w:tabs>
      </w:pPr>
      <w:r>
        <w:t>Learning objective: 1.4</w:t>
      </w:r>
    </w:p>
    <w:p w:rsidR="00F04728" w:rsidRPr="00E24DB0" w:rsidRDefault="00E24DB0" w:rsidP="001B5162">
      <w:pPr>
        <w:tabs>
          <w:tab w:val="left" w:pos="360"/>
        </w:tabs>
      </w:pPr>
      <w:r>
        <w:t>Level of Difficulty</w:t>
      </w:r>
      <w:r w:rsidR="007D743E">
        <w:t>: Medium</w:t>
      </w:r>
    </w:p>
    <w:p w:rsidR="001B5DD3" w:rsidRPr="00E24DB0" w:rsidRDefault="007D743E" w:rsidP="001B5162">
      <w:r>
        <w:t xml:space="preserve">Solution: The two main types of primary market transactions are </w:t>
      </w:r>
      <w:r>
        <w:rPr>
          <w:i/>
        </w:rPr>
        <w:t>initial public offerings</w:t>
      </w:r>
      <w:r>
        <w:t xml:space="preserve"> (IPOs), which are offered to the public by previously private firms, and </w:t>
      </w:r>
      <w:r>
        <w:rPr>
          <w:i/>
        </w:rPr>
        <w:t>seasoned equity offerings</w:t>
      </w:r>
      <w:r>
        <w:t xml:space="preserve"> (SEOs), which are offered by firms previously listed on the stock exchange.</w:t>
      </w:r>
    </w:p>
    <w:p w:rsidR="00F04728" w:rsidRPr="00E24DB0" w:rsidRDefault="00F04728" w:rsidP="001B5162"/>
    <w:p w:rsidR="00F03D90" w:rsidRPr="00E24DB0" w:rsidRDefault="007D743E" w:rsidP="001B5162">
      <w:r>
        <w:rPr>
          <w:lang w:val="en-US"/>
        </w:rPr>
        <w:t xml:space="preserve">13. </w:t>
      </w:r>
      <w:r w:rsidR="00AD58FD">
        <w:t>Section:</w:t>
      </w:r>
      <w:r>
        <w:t xml:space="preserve"> 1.3 Financial Instruments and Markets</w:t>
      </w:r>
    </w:p>
    <w:p w:rsidR="00F03D90" w:rsidRPr="00E24DB0" w:rsidRDefault="007D743E" w:rsidP="001B5162">
      <w:pPr>
        <w:tabs>
          <w:tab w:val="left" w:pos="360"/>
        </w:tabs>
      </w:pPr>
      <w:r>
        <w:t>Learning objective: 1.4</w:t>
      </w:r>
    </w:p>
    <w:p w:rsidR="00F04728" w:rsidRPr="00E24DB0" w:rsidRDefault="00E24DB0" w:rsidP="001B5162">
      <w:pPr>
        <w:tabs>
          <w:tab w:val="left" w:pos="360"/>
        </w:tabs>
      </w:pPr>
      <w:r>
        <w:t>Level of Difficulty</w:t>
      </w:r>
      <w:r w:rsidR="007D743E">
        <w:t>: Difficult</w:t>
      </w:r>
    </w:p>
    <w:p w:rsidR="00F908B9" w:rsidRPr="00E24DB0" w:rsidRDefault="007D743E" w:rsidP="001B5162">
      <w:r>
        <w:t xml:space="preserve">Solution: Secondary market transactions are those where ownership of existing shares changes hands, but the corporations or governments who originally issued the securities  receive no financing; trading takes place </w:t>
      </w:r>
      <w:r w:rsidRPr="007D743E">
        <w:rPr>
          <w:i/>
        </w:rPr>
        <w:t>between</w:t>
      </w:r>
      <w:r>
        <w:t xml:space="preserve"> investors..  This is critical to the functioning of the primary markets, because governments and companies would not be able to raise financing if investors were unable to sell their investments if necessary.</w:t>
      </w:r>
    </w:p>
    <w:sectPr w:rsidR="00F908B9" w:rsidRPr="00E24DB0" w:rsidSect="00755A6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3F1" w:rsidRDefault="003353F1">
      <w:r>
        <w:separator/>
      </w:r>
    </w:p>
  </w:endnote>
  <w:endnote w:type="continuationSeparator" w:id="0">
    <w:p w:rsidR="003353F1" w:rsidRDefault="003353F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New Baskerville"/>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AFF" w:usb1="C000605B" w:usb2="00000029" w:usb3="00000000" w:csb0="000101FF" w:csb1="00000000"/>
  </w:font>
  <w:font w:name="Interstate-Bold">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383" w:rsidRPr="00394B83" w:rsidRDefault="001F7383" w:rsidP="00394B83">
    <w:pPr>
      <w:pStyle w:val="Text"/>
      <w:rPr>
        <w:sz w:val="17"/>
        <w:szCs w:val="17"/>
      </w:rPr>
    </w:pPr>
    <w:r w:rsidRPr="00394B83">
      <w:rPr>
        <w:sz w:val="17"/>
        <w:szCs w:val="17"/>
      </w:rPr>
      <w:t>Solutions Manual</w:t>
    </w:r>
    <w:r w:rsidRPr="00394B83">
      <w:rPr>
        <w:sz w:val="17"/>
        <w:szCs w:val="17"/>
      </w:rPr>
      <w:tab/>
    </w:r>
    <w:r w:rsidRPr="00394B83">
      <w:rPr>
        <w:sz w:val="17"/>
        <w:szCs w:val="17"/>
      </w:rPr>
      <w:tab/>
    </w:r>
    <w:r w:rsidRPr="00394B83">
      <w:rPr>
        <w:sz w:val="17"/>
        <w:szCs w:val="17"/>
      </w:rPr>
      <w:tab/>
    </w:r>
    <w:r w:rsidRPr="00394B83">
      <w:rPr>
        <w:sz w:val="17"/>
        <w:szCs w:val="17"/>
      </w:rPr>
      <w:tab/>
    </w:r>
    <w:r w:rsidRPr="00394B83">
      <w:rPr>
        <w:sz w:val="17"/>
        <w:szCs w:val="17"/>
      </w:rPr>
      <w:tab/>
    </w:r>
    <w:r>
      <w:rPr>
        <w:sz w:val="17"/>
        <w:szCs w:val="17"/>
      </w:rPr>
      <w:tab/>
    </w:r>
    <w:r w:rsidR="007F02DE" w:rsidRPr="00394B83">
      <w:rPr>
        <w:rStyle w:val="PageNumber"/>
        <w:bCs w:val="0"/>
        <w:sz w:val="17"/>
        <w:szCs w:val="17"/>
        <w:lang w:val="en-CA"/>
      </w:rPr>
      <w:fldChar w:fldCharType="begin"/>
    </w:r>
    <w:r w:rsidRPr="00394B83">
      <w:rPr>
        <w:rStyle w:val="PageNumber"/>
        <w:bCs w:val="0"/>
        <w:sz w:val="17"/>
        <w:szCs w:val="17"/>
        <w:lang w:val="en-CA"/>
      </w:rPr>
      <w:instrText xml:space="preserve"> PAGE </w:instrText>
    </w:r>
    <w:r w:rsidR="007F02DE" w:rsidRPr="00394B83">
      <w:rPr>
        <w:rStyle w:val="PageNumber"/>
        <w:bCs w:val="0"/>
        <w:sz w:val="17"/>
        <w:szCs w:val="17"/>
        <w:lang w:val="en-CA"/>
      </w:rPr>
      <w:fldChar w:fldCharType="separate"/>
    </w:r>
    <w:r w:rsidR="00AD58FD">
      <w:rPr>
        <w:rStyle w:val="PageNumber"/>
        <w:bCs w:val="0"/>
        <w:noProof/>
        <w:sz w:val="17"/>
        <w:szCs w:val="17"/>
        <w:lang w:val="en-CA"/>
      </w:rPr>
      <w:t>1</w:t>
    </w:r>
    <w:r w:rsidR="007F02DE" w:rsidRPr="00394B83">
      <w:rPr>
        <w:rStyle w:val="PageNumber"/>
        <w:bCs w:val="0"/>
        <w:sz w:val="17"/>
        <w:szCs w:val="17"/>
        <w:lang w:val="en-CA"/>
      </w:rPr>
      <w:fldChar w:fldCharType="end"/>
    </w:r>
    <w:r>
      <w:rPr>
        <w:rStyle w:val="PageNumber"/>
        <w:bCs w:val="0"/>
        <w:sz w:val="17"/>
        <w:szCs w:val="17"/>
        <w:lang w:val="en-CA"/>
      </w:rPr>
      <w:tab/>
    </w:r>
    <w:r>
      <w:rPr>
        <w:rStyle w:val="PageNumber"/>
        <w:bCs w:val="0"/>
        <w:sz w:val="17"/>
        <w:szCs w:val="17"/>
        <w:lang w:val="en-CA"/>
      </w:rPr>
      <w:tab/>
    </w:r>
    <w:r>
      <w:rPr>
        <w:rStyle w:val="PageNumber"/>
        <w:bCs w:val="0"/>
        <w:sz w:val="17"/>
        <w:szCs w:val="17"/>
        <w:lang w:val="en-CA"/>
      </w:rPr>
      <w:tab/>
    </w:r>
    <w:r>
      <w:rPr>
        <w:rStyle w:val="PageNumber"/>
        <w:bCs w:val="0"/>
        <w:sz w:val="17"/>
        <w:szCs w:val="17"/>
        <w:lang w:val="en-CA"/>
      </w:rPr>
      <w:tab/>
      <w:t xml:space="preserve">            </w:t>
    </w:r>
    <w:r w:rsidRPr="00394B83">
      <w:rPr>
        <w:sz w:val="17"/>
        <w:szCs w:val="17"/>
      </w:rPr>
      <w:t>Chapter 1</w:t>
    </w:r>
  </w:p>
  <w:p w:rsidR="001F7383" w:rsidRPr="00394B83" w:rsidRDefault="001F7383" w:rsidP="00394B83">
    <w:pPr>
      <w:pStyle w:val="Text"/>
      <w:rPr>
        <w:sz w:val="17"/>
        <w:szCs w:val="17"/>
      </w:rPr>
    </w:pPr>
    <w:r w:rsidRPr="00394B83">
      <w:rPr>
        <w:sz w:val="17"/>
        <w:szCs w:val="17"/>
      </w:rPr>
      <w:t>Copyright © 20</w:t>
    </w:r>
    <w:r>
      <w:rPr>
        <w:sz w:val="17"/>
        <w:szCs w:val="17"/>
      </w:rPr>
      <w:t>10</w:t>
    </w:r>
    <w:r w:rsidRPr="00394B83">
      <w:rPr>
        <w:sz w:val="17"/>
        <w:szCs w:val="17"/>
      </w:rPr>
      <w:t xml:space="preserve"> John Wiley &amp; Sons Canada, Ltd.  Unauthorized copying, distribution, or transmission is strictly prohibited.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3F1" w:rsidRDefault="003353F1">
      <w:r>
        <w:separator/>
      </w:r>
    </w:p>
  </w:footnote>
  <w:footnote w:type="continuationSeparator" w:id="0">
    <w:p w:rsidR="003353F1" w:rsidRDefault="003353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383" w:rsidRPr="00B56C44" w:rsidRDefault="001F7383" w:rsidP="00755A61">
    <w:pPr>
      <w:pStyle w:val="Header"/>
      <w:tabs>
        <w:tab w:val="left" w:pos="8100"/>
      </w:tabs>
      <w:rPr>
        <w:rFonts w:ascii="Arial" w:hAnsi="Arial" w:cs="Arial"/>
        <w:sz w:val="18"/>
        <w:szCs w:val="18"/>
      </w:rPr>
    </w:pPr>
    <w:r w:rsidRPr="00B56C44">
      <w:rPr>
        <w:rFonts w:ascii="Arial" w:hAnsi="Arial" w:cs="Arial"/>
        <w:i/>
        <w:sz w:val="18"/>
        <w:szCs w:val="18"/>
      </w:rPr>
      <w:t>Introduction to Corporate Finance</w:t>
    </w:r>
    <w:r>
      <w:rPr>
        <w:rFonts w:ascii="Arial" w:hAnsi="Arial" w:cs="Arial"/>
        <w:sz w:val="18"/>
        <w:szCs w:val="18"/>
      </w:rPr>
      <w:t>, Second Edition</w:t>
    </w:r>
    <w:r w:rsidRPr="00B56C44">
      <w:rPr>
        <w:rFonts w:ascii="Arial" w:hAnsi="Arial" w:cs="Arial"/>
        <w:sz w:val="18"/>
        <w:szCs w:val="18"/>
      </w:rPr>
      <w:tab/>
    </w:r>
    <w:r w:rsidRPr="00B56C44">
      <w:rPr>
        <w:rFonts w:ascii="Arial" w:hAnsi="Arial" w:cs="Arial"/>
        <w:sz w:val="18"/>
        <w:szCs w:val="18"/>
      </w:rPr>
      <w:tab/>
      <w:t>Booth, Cleary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67554"/>
    <w:multiLevelType w:val="hybridMultilevel"/>
    <w:tmpl w:val="8C1EF07A"/>
    <w:lvl w:ilvl="0" w:tplc="989057E6">
      <w:start w:val="1"/>
      <w:numFmt w:val="decimal"/>
      <w:lvlText w:val="%1."/>
      <w:lvlJc w:val="left"/>
      <w:pPr>
        <w:tabs>
          <w:tab w:val="num" w:pos="360"/>
        </w:tabs>
        <w:ind w:left="360" w:hanging="360"/>
      </w:pPr>
      <w:rPr>
        <w:rFonts w:hint="default"/>
      </w:rPr>
    </w:lvl>
    <w:lvl w:ilvl="1" w:tplc="E4563ABC">
      <w:start w:val="1"/>
      <w:numFmt w:val="decimal"/>
      <w:lvlText w:val="%2."/>
      <w:lvlJc w:val="left"/>
      <w:pPr>
        <w:tabs>
          <w:tab w:val="num" w:pos="780"/>
        </w:tabs>
        <w:ind w:left="780" w:hanging="360"/>
      </w:pPr>
      <w:rPr>
        <w:rFonts w:hint="default"/>
      </w:rPr>
    </w:lvl>
    <w:lvl w:ilvl="2" w:tplc="1578FB6C">
      <w:start w:val="1"/>
      <w:numFmt w:val="lowerLetter"/>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9218"/>
  </w:hdrShapeDefaults>
  <w:footnotePr>
    <w:footnote w:id="-1"/>
    <w:footnote w:id="0"/>
  </w:footnotePr>
  <w:endnotePr>
    <w:endnote w:id="-1"/>
    <w:endnote w:id="0"/>
  </w:endnotePr>
  <w:compat/>
  <w:rsids>
    <w:rsidRoot w:val="0007410E"/>
    <w:rsid w:val="00004711"/>
    <w:rsid w:val="00026483"/>
    <w:rsid w:val="00037C41"/>
    <w:rsid w:val="000601C4"/>
    <w:rsid w:val="00072945"/>
    <w:rsid w:val="0007410E"/>
    <w:rsid w:val="00091F11"/>
    <w:rsid w:val="00092B71"/>
    <w:rsid w:val="000A59F2"/>
    <w:rsid w:val="00114428"/>
    <w:rsid w:val="001810F1"/>
    <w:rsid w:val="001A2386"/>
    <w:rsid w:val="001B5162"/>
    <w:rsid w:val="001B5DD3"/>
    <w:rsid w:val="001F7383"/>
    <w:rsid w:val="002115B9"/>
    <w:rsid w:val="002A7339"/>
    <w:rsid w:val="002E58FF"/>
    <w:rsid w:val="003172CD"/>
    <w:rsid w:val="003353F1"/>
    <w:rsid w:val="00394B83"/>
    <w:rsid w:val="00473C6E"/>
    <w:rsid w:val="004B169B"/>
    <w:rsid w:val="004D10C0"/>
    <w:rsid w:val="00501E3A"/>
    <w:rsid w:val="00505EC3"/>
    <w:rsid w:val="00512FB9"/>
    <w:rsid w:val="0056526B"/>
    <w:rsid w:val="005A086D"/>
    <w:rsid w:val="005A16A3"/>
    <w:rsid w:val="005D5CFF"/>
    <w:rsid w:val="00621D9C"/>
    <w:rsid w:val="00634445"/>
    <w:rsid w:val="006412F1"/>
    <w:rsid w:val="006513D2"/>
    <w:rsid w:val="007146C4"/>
    <w:rsid w:val="00717907"/>
    <w:rsid w:val="007518AE"/>
    <w:rsid w:val="00755A61"/>
    <w:rsid w:val="00756D69"/>
    <w:rsid w:val="00773F88"/>
    <w:rsid w:val="007A0A4B"/>
    <w:rsid w:val="007A274B"/>
    <w:rsid w:val="007D743E"/>
    <w:rsid w:val="007E77EC"/>
    <w:rsid w:val="007F02DE"/>
    <w:rsid w:val="007F0513"/>
    <w:rsid w:val="007F0E3F"/>
    <w:rsid w:val="008803A1"/>
    <w:rsid w:val="008932D1"/>
    <w:rsid w:val="00946258"/>
    <w:rsid w:val="00972A6D"/>
    <w:rsid w:val="00982609"/>
    <w:rsid w:val="009E6E9C"/>
    <w:rsid w:val="009F37C9"/>
    <w:rsid w:val="00A62FE9"/>
    <w:rsid w:val="00A7648B"/>
    <w:rsid w:val="00AD58FD"/>
    <w:rsid w:val="00B56C44"/>
    <w:rsid w:val="00B97ADA"/>
    <w:rsid w:val="00BD6056"/>
    <w:rsid w:val="00BD68D6"/>
    <w:rsid w:val="00C05870"/>
    <w:rsid w:val="00C26AC5"/>
    <w:rsid w:val="00CC17A2"/>
    <w:rsid w:val="00CD2B24"/>
    <w:rsid w:val="00D13F08"/>
    <w:rsid w:val="00D17AE5"/>
    <w:rsid w:val="00D821C8"/>
    <w:rsid w:val="00D94FAE"/>
    <w:rsid w:val="00D97865"/>
    <w:rsid w:val="00DB04D1"/>
    <w:rsid w:val="00DD3422"/>
    <w:rsid w:val="00E24DB0"/>
    <w:rsid w:val="00E33F58"/>
    <w:rsid w:val="00E5327C"/>
    <w:rsid w:val="00EC62E5"/>
    <w:rsid w:val="00F03D90"/>
    <w:rsid w:val="00F04728"/>
    <w:rsid w:val="00F329C7"/>
    <w:rsid w:val="00F908B9"/>
    <w:rsid w:val="00FA7E0B"/>
    <w:rsid w:val="00FC015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43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E77EC"/>
    <w:pPr>
      <w:widowControl w:val="0"/>
      <w:jc w:val="center"/>
    </w:pPr>
    <w:rPr>
      <w:rFonts w:eastAsia="SimSun"/>
      <w:b/>
      <w:bCs/>
      <w:kern w:val="2"/>
      <w:sz w:val="28"/>
      <w:lang w:val="en-US" w:eastAsia="zh-CN"/>
    </w:rPr>
  </w:style>
  <w:style w:type="paragraph" w:styleId="Header">
    <w:name w:val="header"/>
    <w:basedOn w:val="Normal"/>
    <w:rsid w:val="00B56C44"/>
    <w:pPr>
      <w:tabs>
        <w:tab w:val="center" w:pos="4320"/>
        <w:tab w:val="right" w:pos="8640"/>
      </w:tabs>
    </w:pPr>
  </w:style>
  <w:style w:type="paragraph" w:styleId="Footer">
    <w:name w:val="footer"/>
    <w:basedOn w:val="Normal"/>
    <w:rsid w:val="00B56C44"/>
    <w:pPr>
      <w:tabs>
        <w:tab w:val="center" w:pos="4320"/>
        <w:tab w:val="right" w:pos="8640"/>
      </w:tabs>
    </w:pPr>
  </w:style>
  <w:style w:type="paragraph" w:customStyle="1" w:styleId="Text">
    <w:name w:val="Text"/>
    <w:basedOn w:val="Normal"/>
    <w:rsid w:val="00B56C44"/>
    <w:pPr>
      <w:widowControl w:val="0"/>
      <w:tabs>
        <w:tab w:val="left" w:pos="480"/>
      </w:tabs>
    </w:pPr>
    <w:rPr>
      <w:rFonts w:ascii="Arial" w:hAnsi="Arial" w:cs="Arial"/>
      <w:bCs/>
      <w:szCs w:val="20"/>
      <w:lang w:val="en-US"/>
    </w:rPr>
  </w:style>
  <w:style w:type="character" w:styleId="PageNumber">
    <w:name w:val="page number"/>
    <w:basedOn w:val="DefaultParagraphFont"/>
    <w:rsid w:val="00B56C44"/>
  </w:style>
  <w:style w:type="character" w:customStyle="1" w:styleId="slatetextbold1">
    <w:name w:val="slatetextbold1"/>
    <w:basedOn w:val="DefaultParagraphFont"/>
    <w:rsid w:val="00B56C44"/>
    <w:rPr>
      <w:rFonts w:ascii="Arial" w:hAnsi="Arial" w:cs="Arial" w:hint="default"/>
      <w:b/>
      <w:bCs/>
      <w:color w:val="354551"/>
      <w:sz w:val="18"/>
      <w:szCs w:val="18"/>
    </w:rPr>
  </w:style>
  <w:style w:type="paragraph" w:styleId="BalloonText">
    <w:name w:val="Balloon Text"/>
    <w:basedOn w:val="Normal"/>
    <w:semiHidden/>
    <w:rsid w:val="00FC015C"/>
    <w:rPr>
      <w:rFonts w:ascii="Tahoma" w:hAnsi="Tahoma" w:cs="Tahoma"/>
      <w:sz w:val="16"/>
      <w:szCs w:val="16"/>
    </w:rPr>
  </w:style>
  <w:style w:type="character" w:styleId="CommentReference">
    <w:name w:val="annotation reference"/>
    <w:basedOn w:val="DefaultParagraphFont"/>
    <w:semiHidden/>
    <w:rsid w:val="00FC015C"/>
    <w:rPr>
      <w:sz w:val="16"/>
      <w:szCs w:val="16"/>
    </w:rPr>
  </w:style>
  <w:style w:type="paragraph" w:styleId="CommentText">
    <w:name w:val="annotation text"/>
    <w:basedOn w:val="Normal"/>
    <w:semiHidden/>
    <w:rsid w:val="00FC015C"/>
    <w:rPr>
      <w:sz w:val="20"/>
      <w:szCs w:val="20"/>
    </w:rPr>
  </w:style>
  <w:style w:type="paragraph" w:styleId="CommentSubject">
    <w:name w:val="annotation subject"/>
    <w:basedOn w:val="CommentText"/>
    <w:next w:val="CommentText"/>
    <w:semiHidden/>
    <w:rsid w:val="00FC015C"/>
    <w:rPr>
      <w:b/>
      <w:bCs/>
    </w:rPr>
  </w:style>
  <w:style w:type="table" w:styleId="TableClassic4">
    <w:name w:val="Table Classic 4"/>
    <w:basedOn w:val="TableNormal"/>
    <w:rsid w:val="00C05870"/>
    <w:pPr>
      <w:widowControl w:val="0"/>
      <w:autoSpaceDE w:val="0"/>
      <w:autoSpaceDN w:val="0"/>
      <w:adjustRightInd w:val="0"/>
    </w:pPr>
    <w:rPr>
      <w:rFonts w:ascii="Interstate-Bold" w:hAnsi="Interstate-Bold" w:cs="Interstate-Bold"/>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Introduction to Corporate Finance</vt:lpstr>
    </vt:vector>
  </TitlesOfParts>
  <Company>JOHN WILEY &amp; SONS CANADA LTD</Company>
  <LinksUpToDate>false</LinksUpToDate>
  <CharactersWithSpaces>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Corporate Finance</dc:title>
  <dc:subject>Chapter 1: An Introduction to Finance</dc:subject>
  <dc:creator>Sean Cleary</dc:creator>
  <cp:lastModifiedBy>GB</cp:lastModifiedBy>
  <cp:revision>4</cp:revision>
  <dcterms:created xsi:type="dcterms:W3CDTF">2010-05-05T19:48:00Z</dcterms:created>
  <dcterms:modified xsi:type="dcterms:W3CDTF">2010-05-05T21:37:00Z</dcterms:modified>
</cp:coreProperties>
</file>